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21" w:rsidRPr="007F2233" w:rsidRDefault="009E0D21" w:rsidP="009E0D21">
      <w:pPr>
        <w:ind w:left="284"/>
        <w:jc w:val="right"/>
        <w:rPr>
          <w:rFonts w:ascii="Cambria" w:hAnsi="Cambria"/>
          <w:b/>
          <w:sz w:val="22"/>
          <w:szCs w:val="22"/>
        </w:rPr>
      </w:pPr>
      <w:r w:rsidRPr="007F2233">
        <w:rPr>
          <w:rFonts w:ascii="Cambria" w:hAnsi="Cambria"/>
          <w:b/>
          <w:sz w:val="22"/>
          <w:szCs w:val="22"/>
        </w:rPr>
        <w:t>Załącznik nr 4 do SIWZ</w:t>
      </w:r>
    </w:p>
    <w:p w:rsidR="009E0D21" w:rsidRPr="007F2233" w:rsidRDefault="009E0D21" w:rsidP="009E0D21">
      <w:pPr>
        <w:jc w:val="both"/>
        <w:rPr>
          <w:rFonts w:ascii="Cambria" w:hAnsi="Cambria"/>
          <w:b/>
          <w:i/>
          <w:sz w:val="22"/>
          <w:szCs w:val="22"/>
        </w:rPr>
      </w:pPr>
    </w:p>
    <w:p w:rsidR="009E0D21" w:rsidRPr="007F2233" w:rsidRDefault="009E0D21" w:rsidP="009E0D21">
      <w:pPr>
        <w:suppressAutoHyphens w:val="0"/>
        <w:spacing w:after="240"/>
        <w:jc w:val="both"/>
        <w:outlineLvl w:val="0"/>
        <w:rPr>
          <w:rFonts w:ascii="Cambria" w:hAnsi="Cambria"/>
          <w:b/>
          <w:sz w:val="22"/>
          <w:szCs w:val="22"/>
          <w:lang w:eastAsia="en-US"/>
        </w:rPr>
      </w:pPr>
      <w:bookmarkStart w:id="0" w:name="_Toc407624092"/>
      <w:bookmarkStart w:id="1" w:name="_Toc426360116"/>
      <w:r w:rsidRPr="007F2233">
        <w:rPr>
          <w:rFonts w:ascii="Cambria" w:hAnsi="Cambria"/>
          <w:b/>
          <w:sz w:val="22"/>
          <w:szCs w:val="22"/>
          <w:lang w:eastAsia="en-US"/>
        </w:rPr>
        <w:t>Warunki obligatoryjne – definicje pojęć i obligatoryjna treść klauzul dodat</w:t>
      </w:r>
      <w:r>
        <w:rPr>
          <w:rFonts w:ascii="Cambria" w:hAnsi="Cambria"/>
          <w:b/>
          <w:sz w:val="22"/>
          <w:szCs w:val="22"/>
          <w:lang w:eastAsia="en-US"/>
        </w:rPr>
        <w:t xml:space="preserve">kowych, dotyczące części I, II, </w:t>
      </w:r>
      <w:r w:rsidRPr="007F2233">
        <w:rPr>
          <w:rFonts w:ascii="Cambria" w:hAnsi="Cambria"/>
          <w:b/>
          <w:sz w:val="22"/>
          <w:szCs w:val="22"/>
          <w:lang w:eastAsia="en-US"/>
        </w:rPr>
        <w:t>III</w:t>
      </w:r>
      <w:r>
        <w:rPr>
          <w:rFonts w:ascii="Cambria" w:hAnsi="Cambria"/>
          <w:b/>
          <w:sz w:val="22"/>
          <w:szCs w:val="22"/>
          <w:lang w:eastAsia="en-US"/>
        </w:rPr>
        <w:t xml:space="preserve"> i IV</w:t>
      </w:r>
      <w:r w:rsidRPr="007F2233">
        <w:rPr>
          <w:rFonts w:ascii="Cambria" w:hAnsi="Cambria"/>
          <w:b/>
          <w:sz w:val="22"/>
          <w:szCs w:val="22"/>
          <w:lang w:eastAsia="en-US"/>
        </w:rPr>
        <w:t xml:space="preserve">  zamówienia.</w:t>
      </w:r>
      <w:bookmarkEnd w:id="0"/>
      <w:bookmarkEnd w:id="1"/>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Franszyza integralna</w:t>
      </w:r>
      <w:r w:rsidRPr="007F2233">
        <w:rPr>
          <w:rFonts w:ascii="Cambria" w:hAnsi="Cambria"/>
          <w:sz w:val="22"/>
          <w:szCs w:val="22"/>
          <w:lang w:eastAsia="en-US"/>
        </w:rPr>
        <w:t xml:space="preserve"> – dolna granica odpowiedzialności ubezpieczyciela (szkody poniżej ustalonej wartości wyłączone są z ochrony ubezpieczeniowej)</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Franszyza redukcyjna</w:t>
      </w:r>
      <w:r w:rsidRPr="007F2233">
        <w:rPr>
          <w:rFonts w:ascii="Cambria" w:hAnsi="Cambria"/>
          <w:sz w:val="22"/>
          <w:szCs w:val="22"/>
          <w:lang w:eastAsia="en-US"/>
        </w:rPr>
        <w:t xml:space="preserve"> – kwotowy udział własny ubezpieczającego/ubezpieczonego w każdej szkodzie</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Dym i sadza</w:t>
      </w:r>
      <w:r w:rsidRPr="007F2233">
        <w:rPr>
          <w:rFonts w:ascii="Cambria" w:hAnsi="Cambria"/>
          <w:sz w:val="22"/>
          <w:szCs w:val="22"/>
          <w:lang w:eastAsia="en-US"/>
        </w:rPr>
        <w:t xml:space="preserve"> – produkty niepełnego spalania materiałów, które:</w:t>
      </w:r>
    </w:p>
    <w:p w:rsidR="009E0D21" w:rsidRPr="007F2233" w:rsidRDefault="009E0D21" w:rsidP="009E0D21">
      <w:pPr>
        <w:widowControl w:val="0"/>
        <w:numPr>
          <w:ilvl w:val="0"/>
          <w:numId w:val="1"/>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9E0D21" w:rsidRPr="007F2233" w:rsidRDefault="009E0D21" w:rsidP="009E0D21">
      <w:pPr>
        <w:widowControl w:val="0"/>
        <w:numPr>
          <w:ilvl w:val="0"/>
          <w:numId w:val="1"/>
        </w:numPr>
        <w:tabs>
          <w:tab w:val="left" w:pos="360"/>
        </w:tabs>
        <w:suppressAutoHyphens w:val="0"/>
        <w:spacing w:after="200" w:line="276" w:lineRule="auto"/>
        <w:ind w:left="360"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są następstwem powstania pożaru w miejscu ubezpieczenia lub jego bezpośrednim otoczeniu</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Śnieg/lód</w:t>
      </w:r>
      <w:r w:rsidRPr="007F2233">
        <w:rPr>
          <w:rFonts w:ascii="Cambria" w:hAnsi="Cambria"/>
          <w:sz w:val="22"/>
          <w:szCs w:val="22"/>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9E0D21" w:rsidRPr="007F2233" w:rsidRDefault="009E0D21" w:rsidP="009E0D21">
      <w:pPr>
        <w:widowControl w:val="0"/>
        <w:suppressAutoHyphens w:val="0"/>
        <w:overflowPunct w:val="0"/>
        <w:autoSpaceDE w:val="0"/>
        <w:spacing w:before="120"/>
        <w:jc w:val="both"/>
        <w:textAlignment w:val="baseline"/>
        <w:rPr>
          <w:rFonts w:ascii="Cambria" w:hAnsi="Cambria"/>
          <w:sz w:val="22"/>
          <w:szCs w:val="22"/>
          <w:lang w:eastAsia="en-US"/>
        </w:rPr>
      </w:pPr>
      <w:r w:rsidRPr="007F2233">
        <w:rPr>
          <w:rFonts w:ascii="Cambria" w:hAnsi="Cambria"/>
          <w:b/>
          <w:bCs/>
          <w:sz w:val="22"/>
          <w:szCs w:val="22"/>
          <w:lang w:eastAsia="en-US"/>
        </w:rPr>
        <w:t>P</w:t>
      </w:r>
      <w:r w:rsidRPr="007F2233">
        <w:rPr>
          <w:rFonts w:ascii="Cambria" w:hAnsi="Cambria"/>
          <w:b/>
          <w:sz w:val="22"/>
          <w:szCs w:val="22"/>
          <w:lang w:eastAsia="en-US"/>
        </w:rPr>
        <w:t>owódź</w:t>
      </w:r>
      <w:r w:rsidRPr="007F2233">
        <w:rPr>
          <w:rFonts w:ascii="Cambria" w:hAnsi="Cambria"/>
          <w:b/>
          <w:bCs/>
          <w:sz w:val="22"/>
          <w:szCs w:val="22"/>
          <w:lang w:eastAsia="en-US"/>
        </w:rPr>
        <w:t xml:space="preserve"> </w:t>
      </w:r>
      <w:r w:rsidRPr="007F2233">
        <w:rPr>
          <w:rFonts w:ascii="Cambria" w:hAnsi="Cambria"/>
          <w:sz w:val="22"/>
          <w:szCs w:val="22"/>
          <w:lang w:eastAsia="en-US"/>
        </w:rPr>
        <w:t>– zalanie terenów w następstwie:</w:t>
      </w:r>
    </w:p>
    <w:p w:rsidR="009E0D21" w:rsidRPr="007F2233" w:rsidRDefault="009E0D21" w:rsidP="009E0D21">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1) podniesienia się wody w korytach wód płynących bądź stojących (w tym zalanie terenów na skutek sztormu)</w:t>
      </w:r>
    </w:p>
    <w:p w:rsidR="009E0D21" w:rsidRPr="007F2233" w:rsidRDefault="009E0D21" w:rsidP="009E0D21">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2) spływu wód po zboczach i stokach</w:t>
      </w:r>
    </w:p>
    <w:p w:rsidR="009E0D21" w:rsidRPr="007F2233" w:rsidRDefault="009E0D21" w:rsidP="009E0D21">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Ochrona ubezpieczeniowa obejmuje także szkody w ubezpieczonym mieniu spowodowane przenoszeniem przedmiotów przez wody powodziowe.</w:t>
      </w:r>
    </w:p>
    <w:p w:rsidR="009E0D21" w:rsidRPr="007F2233" w:rsidRDefault="009E0D21" w:rsidP="009E0D21">
      <w:pPr>
        <w:widowControl w:val="0"/>
        <w:suppressAutoHyphens w:val="0"/>
        <w:overflowPunct w:val="0"/>
        <w:autoSpaceDE w:val="0"/>
        <w:jc w:val="both"/>
        <w:textAlignment w:val="baseline"/>
        <w:rPr>
          <w:rFonts w:ascii="Cambria" w:hAnsi="Cambria"/>
          <w:b/>
          <w:sz w:val="22"/>
          <w:szCs w:val="22"/>
          <w:lang w:eastAsia="en-US"/>
        </w:rPr>
      </w:pPr>
      <w:r w:rsidRPr="007F2233">
        <w:rPr>
          <w:rFonts w:ascii="Cambria" w:hAnsi="Cambria"/>
          <w:sz w:val="22"/>
          <w:szCs w:val="22"/>
          <w:lang w:eastAsia="en-US"/>
        </w:rPr>
        <w:t xml:space="preserve">Zakres ubezpieczenia obejmuje również szkody w wyniku powodzi w mieniu znajdującym się </w:t>
      </w:r>
      <w:r w:rsidRPr="007F2233">
        <w:rPr>
          <w:rFonts w:ascii="Cambria" w:hAnsi="Cambria"/>
          <w:sz w:val="22"/>
          <w:szCs w:val="22"/>
          <w:lang w:eastAsia="en-US"/>
        </w:rPr>
        <w:br/>
        <w:t xml:space="preserve">na </w:t>
      </w:r>
      <w:r>
        <w:rPr>
          <w:rFonts w:ascii="Cambria" w:hAnsi="Cambria"/>
          <w:sz w:val="22"/>
          <w:szCs w:val="22"/>
          <w:lang w:eastAsia="en-US"/>
        </w:rPr>
        <w:t>Opatowiec</w:t>
      </w:r>
      <w:r w:rsidRPr="007F2233">
        <w:rPr>
          <w:rFonts w:ascii="Cambria" w:hAnsi="Cambria"/>
          <w:sz w:val="22"/>
          <w:szCs w:val="22"/>
          <w:lang w:eastAsia="en-US"/>
        </w:rPr>
        <w:t>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7F2233">
        <w:rPr>
          <w:rFonts w:ascii="Cambria" w:hAnsi="Cambria"/>
          <w:b/>
          <w:sz w:val="22"/>
          <w:szCs w:val="22"/>
          <w:lang w:eastAsia="en-US"/>
        </w:rPr>
        <w:t>.</w:t>
      </w:r>
    </w:p>
    <w:p w:rsidR="009E0D21" w:rsidRPr="007F2233" w:rsidRDefault="009E0D21" w:rsidP="009E0D21">
      <w:pPr>
        <w:widowControl w:val="0"/>
        <w:suppressAutoHyphens w:val="0"/>
        <w:overflowPunct w:val="0"/>
        <w:autoSpaceDE w:val="0"/>
        <w:jc w:val="both"/>
        <w:textAlignment w:val="baseline"/>
        <w:rPr>
          <w:rFonts w:ascii="Cambria" w:hAnsi="Cambria"/>
          <w:sz w:val="22"/>
          <w:szCs w:val="22"/>
          <w:lang w:eastAsia="en-US"/>
        </w:rPr>
      </w:pPr>
      <w:r w:rsidRPr="007F2233">
        <w:rPr>
          <w:rFonts w:ascii="Cambria" w:hAnsi="Cambria"/>
          <w:sz w:val="22"/>
          <w:szCs w:val="22"/>
          <w:lang w:eastAsia="en-US"/>
        </w:rPr>
        <w:t>Nie mają zastosowania wyłączenia lub ograniczenia odpowiedzialności ubezpieczyciela z tytułu historycznego występowania powodzi w miejscu ubezpieczenia, zawarte w ogólnych bądź szczególnych warunkach ubezpieczenia.</w:t>
      </w:r>
    </w:p>
    <w:p w:rsidR="009E0D21" w:rsidRPr="007F2233" w:rsidRDefault="009E0D21" w:rsidP="009E0D21">
      <w:pPr>
        <w:widowControl w:val="0"/>
        <w:suppressAutoHyphens w:val="0"/>
        <w:jc w:val="both"/>
        <w:rPr>
          <w:rFonts w:ascii="Cambria" w:hAnsi="Cambria"/>
          <w:b/>
          <w:sz w:val="22"/>
          <w:szCs w:val="22"/>
        </w:rPr>
      </w:pPr>
      <w:r w:rsidRPr="007F2233">
        <w:rPr>
          <w:rFonts w:ascii="Cambria" w:hAnsi="Cambria"/>
          <w:sz w:val="22"/>
          <w:szCs w:val="22"/>
          <w:lang w:eastAsia="en-US"/>
        </w:rPr>
        <w:t xml:space="preserve">Zakres ochrony ubezpieczeniowej obejmuje również podtopienie mienia spowodowane </w:t>
      </w:r>
      <w:r w:rsidRPr="007F2233">
        <w:rPr>
          <w:rFonts w:ascii="Cambria" w:hAnsi="Cambria"/>
          <w:sz w:val="22"/>
          <w:szCs w:val="22"/>
          <w:lang w:eastAsia="en-US"/>
        </w:rPr>
        <w:br/>
        <w:t>w wyniku deszczu nawalnego, topnienia mas śniegu lub lodu, spływu wód po zboczach lub stokach, podniesienia si</w:t>
      </w:r>
      <w:r w:rsidRPr="007F2233">
        <w:rPr>
          <w:rFonts w:ascii="Cambria" w:eastAsia="TimesNewRoman" w:hAnsi="Cambria"/>
          <w:sz w:val="22"/>
          <w:szCs w:val="22"/>
          <w:lang w:eastAsia="en-US"/>
        </w:rPr>
        <w:t xml:space="preserve">ę </w:t>
      </w:r>
      <w:r w:rsidRPr="007F2233">
        <w:rPr>
          <w:rFonts w:ascii="Cambria" w:hAnsi="Cambria"/>
          <w:sz w:val="22"/>
          <w:szCs w:val="22"/>
          <w:lang w:eastAsia="en-US"/>
        </w:rPr>
        <w:t>poziomu wód gruntowych oraz wystąpienia powodzi w sąsiednim otoczeniu (w tym podniesienie się poziomu wody w wyniku powodzi).</w:t>
      </w:r>
    </w:p>
    <w:p w:rsidR="009E0D21" w:rsidRPr="007F2233" w:rsidRDefault="009E0D21" w:rsidP="009E0D21">
      <w:pPr>
        <w:widowControl w:val="0"/>
        <w:suppressAutoHyphens w:val="0"/>
        <w:spacing w:before="120"/>
        <w:jc w:val="both"/>
        <w:rPr>
          <w:rFonts w:ascii="Cambria" w:hAnsi="Cambria"/>
          <w:b/>
          <w:sz w:val="22"/>
          <w:szCs w:val="22"/>
          <w:lang w:eastAsia="en-US"/>
        </w:rPr>
      </w:pPr>
      <w:r w:rsidRPr="007F2233">
        <w:rPr>
          <w:rFonts w:ascii="Cambria" w:hAnsi="Cambria"/>
          <w:b/>
          <w:sz w:val="22"/>
          <w:szCs w:val="22"/>
        </w:rPr>
        <w:t>Deszcz nawalny</w:t>
      </w:r>
      <w:r w:rsidRPr="007F2233">
        <w:rPr>
          <w:rFonts w:ascii="Cambria" w:hAnsi="Cambria"/>
          <w:sz w:val="22"/>
          <w:szCs w:val="22"/>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Wandalizm</w:t>
      </w:r>
      <w:r w:rsidRPr="007F2233">
        <w:rPr>
          <w:rFonts w:ascii="Cambria" w:hAnsi="Cambria"/>
          <w:sz w:val="22"/>
          <w:szCs w:val="22"/>
          <w:lang w:eastAsia="en-US"/>
        </w:rPr>
        <w:t xml:space="preserve"> – zniszczenie lub uszkodzenie ubezpieczonego mienia w związku z usiłowaniem lub dokonaniem kradzieży z włamaniem albo rabunku</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Dewastacja</w:t>
      </w:r>
      <w:r w:rsidRPr="007F2233">
        <w:rPr>
          <w:rFonts w:ascii="Cambria" w:hAnsi="Cambria"/>
          <w:sz w:val="22"/>
          <w:szCs w:val="22"/>
          <w:lang w:eastAsia="en-US"/>
        </w:rPr>
        <w:t xml:space="preserve"> – rozmyślne uszkodzenie lub zniszczenie ubezpieczonego mienia przez osoby trzecie. W zakresie obligatoryjnym ryzyko dewastacji obejmuje szkody powstałe wskutek pomalowania, w tym graffiti. </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lastRenderedPageBreak/>
        <w:t>Pożar</w:t>
      </w:r>
      <w:r w:rsidRPr="007F2233">
        <w:rPr>
          <w:rFonts w:ascii="Cambria" w:hAnsi="Cambria"/>
          <w:sz w:val="22"/>
          <w:szCs w:val="22"/>
          <w:lang w:eastAsia="en-US"/>
        </w:rPr>
        <w:t xml:space="preserve"> – działanie ognia, który przedostał się poza palenisko albo powstał poza paleniskiem i rozszerzył się o własnej sile, niezależnie od miejsca jego powstania.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Maszyny, urządzenia, wyposażenie</w:t>
      </w:r>
      <w:r w:rsidRPr="007F2233">
        <w:rPr>
          <w:rFonts w:ascii="Cambria" w:eastAsia="Calibri" w:hAnsi="Cambria"/>
          <w:sz w:val="22"/>
          <w:szCs w:val="22"/>
          <w:lang w:eastAsia="en-US"/>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7F2233">
        <w:rPr>
          <w:rFonts w:ascii="Cambria" w:eastAsia="Calibri" w:hAnsi="Cambria"/>
          <w:sz w:val="22"/>
          <w:szCs w:val="22"/>
          <w:lang w:eastAsia="en-US"/>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9E0D21" w:rsidRPr="007F2233" w:rsidRDefault="009E0D21" w:rsidP="009E0D21">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 xml:space="preserve">Środki obrotowe </w:t>
      </w:r>
      <w:r w:rsidRPr="007F2233">
        <w:rPr>
          <w:rFonts w:ascii="Cambria" w:hAnsi="Cambria"/>
          <w:sz w:val="22"/>
          <w:szCs w:val="22"/>
          <w:lang w:eastAsia="en-US"/>
        </w:rPr>
        <w:t xml:space="preserve">– materiały, wytworzone lub przetworzone produkty gotowe albo znajdujące się </w:t>
      </w:r>
      <w:r w:rsidRPr="007F2233">
        <w:rPr>
          <w:rFonts w:ascii="Cambria" w:hAnsi="Cambria"/>
          <w:sz w:val="22"/>
          <w:szCs w:val="22"/>
          <w:lang w:eastAsia="en-US"/>
        </w:rPr>
        <w:br/>
        <w:t xml:space="preserve">w toku produkcji, półprodukty, surowce, towary nabyte w celu sprzedaży, jej wsparcia lub związane </w:t>
      </w:r>
      <w:r w:rsidRPr="007F2233">
        <w:rPr>
          <w:rFonts w:ascii="Cambria" w:hAnsi="Cambria"/>
          <w:sz w:val="22"/>
          <w:szCs w:val="22"/>
          <w:lang w:eastAsia="en-US"/>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9E0D21" w:rsidRPr="007F2233" w:rsidRDefault="009E0D21" w:rsidP="009E0D21">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 xml:space="preserve">Środki niskocenne </w:t>
      </w:r>
      <w:r w:rsidRPr="007F2233">
        <w:rPr>
          <w:rFonts w:ascii="Cambria" w:hAnsi="Cambria"/>
          <w:sz w:val="22"/>
          <w:szCs w:val="22"/>
          <w:lang w:eastAsia="en-US"/>
        </w:rPr>
        <w:t>– w oparciu o kryterium określone</w:t>
      </w:r>
      <w:r w:rsidRPr="007F2233">
        <w:rPr>
          <w:rFonts w:ascii="Cambria" w:hAnsi="Cambria"/>
          <w:b/>
          <w:sz w:val="22"/>
          <w:szCs w:val="22"/>
          <w:lang w:eastAsia="en-US"/>
        </w:rPr>
        <w:t xml:space="preserve"> </w:t>
      </w:r>
      <w:r w:rsidRPr="007F2233">
        <w:rPr>
          <w:rFonts w:ascii="Cambria" w:hAnsi="Cambria"/>
          <w:sz w:val="22"/>
          <w:szCs w:val="22"/>
          <w:lang w:eastAsia="en-US"/>
        </w:rPr>
        <w:t xml:space="preserve">w ustawie o </w:t>
      </w:r>
      <w:r w:rsidRPr="007F2233">
        <w:rPr>
          <w:rFonts w:ascii="Cambria" w:hAnsi="Cambria"/>
          <w:bCs/>
          <w:sz w:val="22"/>
          <w:szCs w:val="22"/>
          <w:lang w:eastAsia="en-US"/>
        </w:rPr>
        <w:t>podatku</w:t>
      </w:r>
      <w:r w:rsidRPr="007F2233">
        <w:rPr>
          <w:rFonts w:ascii="Cambria" w:hAnsi="Cambria"/>
          <w:sz w:val="22"/>
          <w:szCs w:val="22"/>
          <w:lang w:eastAsia="en-US"/>
        </w:rPr>
        <w:t xml:space="preserve"> dochodowym, </w:t>
      </w:r>
      <w:r w:rsidRPr="007F2233">
        <w:rPr>
          <w:rFonts w:ascii="Cambria" w:hAnsi="Cambria"/>
          <w:sz w:val="22"/>
          <w:szCs w:val="22"/>
          <w:lang w:eastAsia="en-US"/>
        </w:rPr>
        <w:br/>
        <w:t xml:space="preserve">do środków niskocennych zaliczone są środki trwałe o wartości poniżej </w:t>
      </w:r>
      <w:r>
        <w:rPr>
          <w:rFonts w:ascii="Cambria" w:hAnsi="Cambria"/>
          <w:sz w:val="22"/>
          <w:szCs w:val="22"/>
          <w:lang w:eastAsia="en-US"/>
        </w:rPr>
        <w:t>10</w:t>
      </w:r>
      <w:r w:rsidRPr="007F2233">
        <w:rPr>
          <w:rFonts w:ascii="Cambria" w:hAnsi="Cambria"/>
          <w:sz w:val="22"/>
          <w:szCs w:val="22"/>
          <w:lang w:eastAsia="en-US"/>
        </w:rPr>
        <w:t xml:space="preserve"> tys. zł.</w:t>
      </w:r>
    </w:p>
    <w:p w:rsidR="009E0D21" w:rsidRPr="007F2233" w:rsidRDefault="009E0D21" w:rsidP="009E0D21">
      <w:pPr>
        <w:widowControl w:val="0"/>
        <w:tabs>
          <w:tab w:val="left" w:pos="360"/>
        </w:tabs>
        <w:suppressAutoHyphens w:val="0"/>
        <w:autoSpaceDE w:val="0"/>
        <w:autoSpaceDN w:val="0"/>
        <w:adjustRightInd w:val="0"/>
        <w:spacing w:before="120"/>
        <w:jc w:val="both"/>
        <w:rPr>
          <w:rFonts w:ascii="Cambria" w:hAnsi="Cambria"/>
          <w:sz w:val="22"/>
          <w:szCs w:val="22"/>
          <w:lang w:eastAsia="en-US"/>
        </w:rPr>
      </w:pPr>
      <w:r w:rsidRPr="007F2233">
        <w:rPr>
          <w:rFonts w:ascii="Cambria" w:hAnsi="Cambria"/>
          <w:b/>
          <w:sz w:val="22"/>
          <w:szCs w:val="22"/>
          <w:lang w:eastAsia="en-US"/>
        </w:rPr>
        <w:t>Środki z konta 013</w:t>
      </w:r>
      <w:r w:rsidRPr="007F2233">
        <w:rPr>
          <w:rFonts w:ascii="Cambria" w:hAnsi="Cambria"/>
          <w:sz w:val="22"/>
          <w:szCs w:val="22"/>
          <w:lang w:eastAsia="en-US"/>
        </w:rPr>
        <w:t xml:space="preserve"> – środki wydane</w:t>
      </w:r>
      <w:r w:rsidRPr="007F2233">
        <w:rPr>
          <w:rFonts w:ascii="Cambria" w:hAnsi="Cambria"/>
          <w:bCs/>
          <w:sz w:val="22"/>
          <w:szCs w:val="22"/>
          <w:lang w:eastAsia="en-US"/>
        </w:rPr>
        <w:t xml:space="preserve"> do używania na potrzeby działalności jednostki, które podlegają umorzeniu lub amortyzacji w pełnej wartości w miesiącu wydania do używania.</w:t>
      </w:r>
    </w:p>
    <w:p w:rsidR="009E0D21" w:rsidRPr="007F2233" w:rsidRDefault="009E0D21" w:rsidP="009E0D21">
      <w:pPr>
        <w:widowControl w:val="0"/>
        <w:suppressAutoHyphens w:val="0"/>
        <w:autoSpaceDE w:val="0"/>
        <w:autoSpaceDN w:val="0"/>
        <w:adjustRightInd w:val="0"/>
        <w:spacing w:before="120"/>
        <w:jc w:val="both"/>
        <w:rPr>
          <w:rFonts w:ascii="Cambria" w:eastAsia="Calibri" w:hAnsi="Cambria"/>
          <w:b/>
          <w:bCs/>
          <w:sz w:val="22"/>
          <w:szCs w:val="22"/>
          <w:lang w:eastAsia="en-US"/>
        </w:rPr>
      </w:pPr>
      <w:r w:rsidRPr="007F2233">
        <w:rPr>
          <w:rFonts w:ascii="Cambria" w:hAnsi="Cambria"/>
          <w:b/>
          <w:sz w:val="22"/>
          <w:szCs w:val="22"/>
          <w:lang w:eastAsia="en-US"/>
        </w:rPr>
        <w:t xml:space="preserve">Nakłady adaptacyjne i inwestycyjne </w:t>
      </w:r>
      <w:r w:rsidRPr="007F2233">
        <w:rPr>
          <w:rFonts w:ascii="Cambria" w:eastAsia="Calibri" w:hAnsi="Cambria"/>
          <w:b/>
          <w:sz w:val="22"/>
          <w:szCs w:val="22"/>
          <w:lang w:eastAsia="en-US"/>
        </w:rPr>
        <w:t xml:space="preserve">(w środki własne i obce) </w:t>
      </w:r>
      <w:r w:rsidRPr="007F2233">
        <w:rPr>
          <w:rFonts w:ascii="Cambria" w:eastAsia="Calibri" w:hAnsi="Cambria"/>
          <w:sz w:val="22"/>
          <w:szCs w:val="22"/>
          <w:lang w:eastAsia="en-US"/>
        </w:rPr>
        <w:t>-</w:t>
      </w:r>
      <w:r w:rsidRPr="007F2233">
        <w:rPr>
          <w:rFonts w:ascii="Cambria" w:eastAsia="Calibri" w:hAnsi="Cambria"/>
          <w:b/>
          <w:sz w:val="22"/>
          <w:szCs w:val="22"/>
          <w:lang w:eastAsia="en-US"/>
        </w:rPr>
        <w:t xml:space="preserve"> </w:t>
      </w:r>
      <w:r w:rsidRPr="007F2233">
        <w:rPr>
          <w:rFonts w:ascii="Cambria" w:hAnsi="Cambria"/>
          <w:sz w:val="22"/>
          <w:szCs w:val="22"/>
          <w:lang w:eastAsia="en-US"/>
        </w:rPr>
        <w:t xml:space="preserve">rozumiane są jako nakłady </w:t>
      </w:r>
      <w:r w:rsidRPr="007F2233">
        <w:rPr>
          <w:rFonts w:ascii="Cambria" w:hAnsi="Cambria"/>
          <w:sz w:val="22"/>
          <w:szCs w:val="22"/>
          <w:lang w:eastAsia="en-US"/>
        </w:rPr>
        <w:br/>
        <w:t>w mieniu należącym i nienależącym do ubezpieczającego, zwiększające jego wartość lub prowadzące do ulepszenia, zwiększenia funkcjonalności lub dostosowania do bieżących potrzeb w zakresie prowadzonej działalności itp.</w:t>
      </w:r>
    </w:p>
    <w:p w:rsidR="009E0D21" w:rsidRPr="007F2233" w:rsidRDefault="009E0D21" w:rsidP="009E0D21">
      <w:pPr>
        <w:widowControl w:val="0"/>
        <w:suppressAutoHyphens w:val="0"/>
        <w:autoSpaceDE w:val="0"/>
        <w:autoSpaceDN w:val="0"/>
        <w:adjustRightInd w:val="0"/>
        <w:spacing w:before="120"/>
        <w:jc w:val="both"/>
        <w:rPr>
          <w:rFonts w:ascii="Cambria" w:eastAsia="Calibri" w:hAnsi="Cambria"/>
          <w:bCs/>
          <w:sz w:val="22"/>
          <w:szCs w:val="22"/>
          <w:lang w:eastAsia="en-US"/>
        </w:rPr>
      </w:pPr>
      <w:r w:rsidRPr="007F2233">
        <w:rPr>
          <w:rFonts w:ascii="Cambria" w:eastAsia="Calibri" w:hAnsi="Cambria"/>
          <w:b/>
          <w:bCs/>
          <w:sz w:val="22"/>
          <w:szCs w:val="22"/>
          <w:lang w:eastAsia="en-US"/>
        </w:rPr>
        <w:t xml:space="preserve">Mienie osób trzecich – </w:t>
      </w:r>
      <w:r w:rsidRPr="007F2233">
        <w:rPr>
          <w:rFonts w:ascii="Cambria" w:eastAsia="Calibri" w:hAnsi="Cambria"/>
          <w:bCs/>
          <w:sz w:val="22"/>
          <w:szCs w:val="22"/>
          <w:lang w:eastAsia="en-US"/>
        </w:rPr>
        <w:t>w ubezpieczeniu systemem pierwszego ryzyka nienazwane mienie ruchome niebędące własnością ubezpieczonego, bez względu na jego przeznaczenie, także mienie pozostawione w szatniach i schowkach.</w:t>
      </w:r>
    </w:p>
    <w:p w:rsidR="009E0D21" w:rsidRPr="007F2233" w:rsidRDefault="009E0D21" w:rsidP="009E0D21">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Wartość odtworzeniowa nowa </w:t>
      </w:r>
      <w:r w:rsidRPr="007F2233">
        <w:rPr>
          <w:rFonts w:ascii="Cambria" w:eastAsia="Calibri" w:hAnsi="Cambria"/>
          <w:sz w:val="22"/>
          <w:szCs w:val="22"/>
          <w:lang w:eastAsia="en-US"/>
        </w:rPr>
        <w:t>-</w:t>
      </w:r>
      <w:r w:rsidRPr="007F2233">
        <w:rPr>
          <w:rFonts w:ascii="Cambria" w:eastAsia="Calibri" w:hAnsi="Cambria"/>
          <w:b/>
          <w:sz w:val="22"/>
          <w:szCs w:val="22"/>
          <w:lang w:eastAsia="en-US"/>
        </w:rPr>
        <w:t xml:space="preserve"> </w:t>
      </w:r>
      <w:r w:rsidRPr="007F2233">
        <w:rPr>
          <w:rFonts w:ascii="Cambria" w:eastAsia="Calibri" w:hAnsi="Cambria"/>
          <w:sz w:val="22"/>
          <w:szCs w:val="22"/>
          <w:lang w:eastAsia="en-US"/>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7F2233">
        <w:rPr>
          <w:rFonts w:ascii="Cambria" w:eastAsia="Calibri" w:hAnsi="Cambria"/>
          <w:sz w:val="22"/>
          <w:szCs w:val="22"/>
          <w:lang w:eastAsia="en-US"/>
        </w:rPr>
        <w:br/>
        <w:t xml:space="preserve">i wyposażenia jest to wartość odpowiadająca kosztom zakupu lub wytworzenia nowego przedmiotu tego samego rodzaju, typu oraz o tych samych parametrach powiększona o koszty transportu </w:t>
      </w:r>
      <w:r w:rsidRPr="007F2233">
        <w:rPr>
          <w:rFonts w:ascii="Cambria" w:eastAsia="Calibri" w:hAnsi="Cambria"/>
          <w:sz w:val="22"/>
          <w:szCs w:val="22"/>
          <w:lang w:eastAsia="en-US"/>
        </w:rPr>
        <w:br/>
        <w:t>i montażu</w:t>
      </w:r>
    </w:p>
    <w:p w:rsidR="009E0D21" w:rsidRPr="007F2233" w:rsidRDefault="009E0D21" w:rsidP="009E0D21">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księgowa brutto</w:t>
      </w:r>
      <w:r w:rsidRPr="007F2233">
        <w:rPr>
          <w:rFonts w:ascii="Cambria" w:eastAsia="Calibri" w:hAnsi="Cambria"/>
          <w:sz w:val="22"/>
          <w:szCs w:val="22"/>
          <w:lang w:eastAsia="en-US"/>
        </w:rPr>
        <w:t xml:space="preserve"> - wartość, która zgodnie z ustawą o rachunkowości odpowiada wartości początkowej mienia, z uwzględnieniem obowiązujących przeszacowań.</w:t>
      </w:r>
    </w:p>
    <w:p w:rsidR="009E0D21" w:rsidRPr="007F2233" w:rsidRDefault="009E0D21" w:rsidP="009E0D21">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zakupu lub koszt wytworzenia</w:t>
      </w:r>
      <w:r w:rsidRPr="007F2233">
        <w:rPr>
          <w:rFonts w:ascii="Cambria" w:eastAsia="Calibri" w:hAnsi="Cambria"/>
          <w:sz w:val="22"/>
          <w:szCs w:val="22"/>
          <w:lang w:eastAsia="en-US"/>
        </w:rPr>
        <w:t xml:space="preserve"> – w odniesieniu do zakupionych środków obrotowych rozumiana jako cena nabycia, a dla środków wytworzonych jako koszt wytworzenia.</w:t>
      </w:r>
    </w:p>
    <w:p w:rsidR="009E0D21" w:rsidRPr="007F2233" w:rsidRDefault="009E0D21" w:rsidP="009E0D21">
      <w:pPr>
        <w:widowControl w:val="0"/>
        <w:tabs>
          <w:tab w:val="left" w:pos="851"/>
        </w:tabs>
        <w:spacing w:before="120"/>
        <w:jc w:val="both"/>
        <w:rPr>
          <w:rFonts w:ascii="Cambria" w:eastAsia="Calibri" w:hAnsi="Cambria"/>
          <w:sz w:val="22"/>
          <w:szCs w:val="22"/>
          <w:lang w:eastAsia="en-US"/>
        </w:rPr>
      </w:pPr>
      <w:r w:rsidRPr="007F2233">
        <w:rPr>
          <w:rFonts w:ascii="Cambria" w:eastAsia="Calibri" w:hAnsi="Cambria"/>
          <w:b/>
          <w:sz w:val="22"/>
          <w:szCs w:val="22"/>
          <w:lang w:eastAsia="en-US"/>
        </w:rPr>
        <w:t>Wartość nominalna</w:t>
      </w:r>
      <w:r w:rsidRPr="007F2233">
        <w:rPr>
          <w:rFonts w:ascii="Cambria" w:eastAsia="Calibri" w:hAnsi="Cambria"/>
          <w:sz w:val="22"/>
          <w:szCs w:val="22"/>
          <w:lang w:eastAsia="en-US"/>
        </w:rPr>
        <w:t xml:space="preserve"> – wartość stosowana w odniesieniu do wartości i innych walorów pieniężnych </w:t>
      </w:r>
      <w:r w:rsidRPr="007F2233">
        <w:rPr>
          <w:rFonts w:ascii="Cambria" w:eastAsia="Calibri" w:hAnsi="Cambria"/>
          <w:sz w:val="22"/>
          <w:szCs w:val="22"/>
          <w:lang w:eastAsia="en-US"/>
        </w:rPr>
        <w:br/>
        <w:t xml:space="preserve">(np. biletów, papierów wartościowych, kart </w:t>
      </w:r>
      <w:r>
        <w:rPr>
          <w:rFonts w:ascii="Cambria" w:eastAsia="Calibri" w:hAnsi="Cambria"/>
          <w:sz w:val="22"/>
          <w:szCs w:val="22"/>
          <w:lang w:eastAsia="en-US"/>
        </w:rPr>
        <w:t>Gminy</w:t>
      </w:r>
      <w:r w:rsidRPr="007F2233">
        <w:rPr>
          <w:rFonts w:ascii="Cambria" w:eastAsia="Calibri" w:hAnsi="Cambria"/>
          <w:sz w:val="22"/>
          <w:szCs w:val="22"/>
          <w:lang w:eastAsia="en-US"/>
        </w:rPr>
        <w:t>ch itp.).</w:t>
      </w:r>
    </w:p>
    <w:p w:rsidR="009E0D21" w:rsidRPr="007F2233" w:rsidRDefault="009E0D21" w:rsidP="009E0D21">
      <w:pPr>
        <w:widowControl w:val="0"/>
        <w:suppressAutoHyphens w:val="0"/>
        <w:autoSpaceDE w:val="0"/>
        <w:autoSpaceDN w:val="0"/>
        <w:adjustRightInd w:val="0"/>
        <w:spacing w:before="120"/>
        <w:jc w:val="both"/>
        <w:rPr>
          <w:rFonts w:ascii="Cambria" w:eastAsia="Calibri" w:hAnsi="Cambria"/>
          <w:b/>
          <w:bCs/>
          <w:sz w:val="22"/>
          <w:szCs w:val="22"/>
          <w:lang w:eastAsia="en-US"/>
        </w:rPr>
      </w:pPr>
      <w:r w:rsidRPr="007F2233">
        <w:rPr>
          <w:rFonts w:ascii="Cambria" w:eastAsia="Calibri" w:hAnsi="Cambria"/>
          <w:b/>
          <w:sz w:val="22"/>
          <w:szCs w:val="22"/>
          <w:lang w:eastAsia="en-US"/>
        </w:rPr>
        <w:t>Wartość wyceny</w:t>
      </w:r>
      <w:r w:rsidRPr="007F2233">
        <w:rPr>
          <w:rFonts w:ascii="Cambria" w:eastAsia="Calibri" w:hAnsi="Cambria"/>
          <w:sz w:val="22"/>
          <w:szCs w:val="22"/>
          <w:lang w:eastAsia="en-US"/>
        </w:rPr>
        <w:t xml:space="preserve"> – rozumiana jako wartość określona przez specjalistów w odniesieniu do niektórych kategorii mienia, np. zbiorów muzealnych, dzieł sztuki, zabytków.</w:t>
      </w:r>
    </w:p>
    <w:p w:rsidR="009E0D21" w:rsidRPr="007F2233" w:rsidRDefault="009E0D21" w:rsidP="009E0D21">
      <w:pPr>
        <w:widowControl w:val="0"/>
        <w:suppressAutoHyphens w:val="0"/>
        <w:autoSpaceDE w:val="0"/>
        <w:autoSpaceDN w:val="0"/>
        <w:adjustRightInd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lastRenderedPageBreak/>
        <w:t xml:space="preserve">Pracownik </w:t>
      </w:r>
      <w:r w:rsidRPr="007F2233">
        <w:rPr>
          <w:rFonts w:ascii="Cambria" w:eastAsia="Calibri" w:hAnsi="Cambria"/>
          <w:sz w:val="22"/>
          <w:szCs w:val="22"/>
          <w:lang w:eastAsia="en-US"/>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w:t>
      </w:r>
      <w:r>
        <w:rPr>
          <w:rFonts w:ascii="Cambria" w:eastAsia="Calibri" w:hAnsi="Cambria"/>
          <w:sz w:val="22"/>
          <w:szCs w:val="22"/>
          <w:lang w:eastAsia="en-US"/>
        </w:rPr>
        <w:t>Gminn</w:t>
      </w:r>
      <w:r w:rsidRPr="007F2233">
        <w:rPr>
          <w:rFonts w:ascii="Cambria" w:eastAsia="Calibri" w:hAnsi="Cambria"/>
          <w:sz w:val="22"/>
          <w:szCs w:val="22"/>
          <w:lang w:eastAsia="en-US"/>
        </w:rPr>
        <w:t>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eastAsia="Calibri" w:hAnsi="Cambria"/>
          <w:b/>
          <w:bCs/>
          <w:sz w:val="22"/>
          <w:szCs w:val="22"/>
          <w:lang w:eastAsia="en-US"/>
        </w:rPr>
        <w:t xml:space="preserve">Podwykonawca </w:t>
      </w:r>
      <w:r w:rsidRPr="007F2233">
        <w:rPr>
          <w:rFonts w:ascii="Cambria" w:eastAsia="Calibri" w:hAnsi="Cambria"/>
          <w:sz w:val="22"/>
          <w:szCs w:val="22"/>
          <w:lang w:eastAsia="en-US"/>
        </w:rPr>
        <w:t>– osoba fizyczna nie będąca pracownikiem, osoba prawna bądź jednostka organizacyjna nieposiadająca osobowości prawnej, której ubezpieczony powierzył wykonanie określonych czynności, prac lub usług.</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Kradzież zwykła</w:t>
      </w:r>
      <w:r w:rsidRPr="007F2233">
        <w:rPr>
          <w:rFonts w:ascii="Cambria" w:hAnsi="Cambria"/>
          <w:sz w:val="22"/>
          <w:szCs w:val="22"/>
          <w:lang w:eastAsia="en-US"/>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Kradzież zuchwała</w:t>
      </w:r>
      <w:r w:rsidRPr="007F2233">
        <w:rPr>
          <w:rFonts w:ascii="Cambria" w:hAnsi="Cambria"/>
          <w:sz w:val="22"/>
          <w:szCs w:val="22"/>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9E0D21" w:rsidRPr="00D3330B" w:rsidRDefault="009E0D21" w:rsidP="009E0D21">
      <w:pPr>
        <w:widowControl w:val="0"/>
        <w:suppressAutoHyphens w:val="0"/>
        <w:spacing w:before="120"/>
        <w:jc w:val="both"/>
        <w:rPr>
          <w:rFonts w:ascii="Cambria" w:hAnsi="Cambria"/>
          <w:sz w:val="22"/>
          <w:szCs w:val="22"/>
          <w:lang w:eastAsia="en-US"/>
        </w:rPr>
      </w:pPr>
      <w:r w:rsidRPr="00D3330B">
        <w:rPr>
          <w:rFonts w:ascii="Cambria" w:hAnsi="Cambria"/>
          <w:b/>
          <w:sz w:val="22"/>
          <w:szCs w:val="22"/>
          <w:lang w:eastAsia="en-US"/>
        </w:rPr>
        <w:t xml:space="preserve">Kradzież z włamaniem </w:t>
      </w:r>
      <w:r w:rsidRPr="00D3330B">
        <w:rPr>
          <w:rFonts w:ascii="Cambria" w:hAnsi="Cambria"/>
          <w:sz w:val="22"/>
          <w:szCs w:val="22"/>
          <w:lang w:eastAsia="en-US"/>
        </w:rPr>
        <w:t>– zabór w celu przywłaszczenia (kradzież) ubezpieczonego mienia w następstwie usunięcia przeszkody 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9E0D21" w:rsidRPr="00D3330B" w:rsidRDefault="009E0D21" w:rsidP="009E0D21">
      <w:pPr>
        <w:widowControl w:val="0"/>
        <w:suppressAutoHyphens w:val="0"/>
        <w:spacing w:before="120"/>
        <w:jc w:val="both"/>
        <w:rPr>
          <w:rFonts w:ascii="Cambria" w:hAnsi="Cambria"/>
          <w:sz w:val="22"/>
          <w:szCs w:val="22"/>
          <w:lang w:eastAsia="en-US"/>
        </w:rPr>
      </w:pPr>
      <w:r w:rsidRPr="00D3330B">
        <w:rPr>
          <w:rFonts w:ascii="Cambria" w:hAnsi="Cambria"/>
          <w:b/>
          <w:sz w:val="22"/>
          <w:szCs w:val="22"/>
          <w:lang w:eastAsia="en-US"/>
        </w:rPr>
        <w:t xml:space="preserve">Rabunek (rozbój) </w:t>
      </w:r>
      <w:r w:rsidRPr="00D3330B">
        <w:rPr>
          <w:rFonts w:ascii="Cambria" w:hAnsi="Cambria"/>
          <w:sz w:val="22"/>
          <w:szCs w:val="22"/>
          <w:lang w:eastAsia="en-US"/>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9E0D21" w:rsidRPr="00D3330B" w:rsidRDefault="009E0D21" w:rsidP="009E0D21">
      <w:pPr>
        <w:widowControl w:val="0"/>
        <w:suppressAutoHyphens w:val="0"/>
        <w:spacing w:before="120"/>
        <w:jc w:val="both"/>
        <w:rPr>
          <w:rFonts w:ascii="Cambria" w:hAnsi="Cambria"/>
          <w:sz w:val="22"/>
          <w:szCs w:val="22"/>
          <w:lang w:eastAsia="en-US"/>
        </w:rPr>
      </w:pPr>
      <w:r w:rsidRPr="00D3330B">
        <w:rPr>
          <w:rFonts w:ascii="Cambria" w:hAnsi="Cambria"/>
          <w:b/>
          <w:sz w:val="22"/>
          <w:szCs w:val="22"/>
          <w:lang w:eastAsia="en-US"/>
        </w:rPr>
        <w:t>Szkoda</w:t>
      </w:r>
      <w:r w:rsidRPr="00D3330B">
        <w:rPr>
          <w:rFonts w:ascii="Cambria" w:hAnsi="Cambria"/>
          <w:sz w:val="22"/>
          <w:szCs w:val="22"/>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9E0D21" w:rsidRPr="00D3330B" w:rsidRDefault="009E0D21" w:rsidP="009E0D21">
      <w:pPr>
        <w:widowControl w:val="0"/>
        <w:suppressAutoHyphens w:val="0"/>
        <w:spacing w:before="120"/>
        <w:jc w:val="both"/>
        <w:rPr>
          <w:rFonts w:ascii="Cambria" w:hAnsi="Cambria"/>
          <w:sz w:val="22"/>
          <w:szCs w:val="22"/>
          <w:lang w:eastAsia="en-US"/>
        </w:rPr>
      </w:pPr>
      <w:r w:rsidRPr="00D3330B">
        <w:rPr>
          <w:rFonts w:ascii="Cambria" w:hAnsi="Cambria"/>
          <w:sz w:val="22"/>
          <w:szCs w:val="22"/>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9E0D21" w:rsidRPr="00D3330B" w:rsidRDefault="009E0D21" w:rsidP="009E0D21">
      <w:pPr>
        <w:widowControl w:val="0"/>
        <w:suppressAutoHyphens w:val="0"/>
        <w:spacing w:before="120"/>
        <w:jc w:val="both"/>
        <w:rPr>
          <w:rFonts w:ascii="Cambria" w:hAnsi="Cambria"/>
          <w:sz w:val="22"/>
          <w:szCs w:val="22"/>
          <w:lang w:eastAsia="en-US"/>
        </w:rPr>
      </w:pPr>
      <w:r w:rsidRPr="00D3330B">
        <w:rPr>
          <w:rFonts w:ascii="Cambria" w:hAnsi="Cambria"/>
          <w:b/>
          <w:sz w:val="22"/>
          <w:szCs w:val="22"/>
          <w:lang w:eastAsia="en-US"/>
        </w:rPr>
        <w:t>Mienie wyłączone z eksploatacji</w:t>
      </w:r>
      <w:r w:rsidRPr="00D3330B">
        <w:rPr>
          <w:rFonts w:ascii="Cambria" w:hAnsi="Cambria"/>
          <w:sz w:val="22"/>
          <w:szCs w:val="22"/>
          <w:lang w:eastAsia="en-US"/>
        </w:rPr>
        <w:t xml:space="preserve"> – mienie wyłączone z użytkowania lub eksploatacji, w całości lub części, bez względu na przyczynę i okres wyłączenia; do wskazanego rodzaju mienia należą również pustostany</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b/>
          <w:sz w:val="22"/>
          <w:szCs w:val="22"/>
          <w:lang w:eastAsia="en-US"/>
        </w:rPr>
        <w:t>Katastrofa budowlana</w:t>
      </w:r>
      <w:r w:rsidRPr="00D3330B">
        <w:rPr>
          <w:rFonts w:ascii="Cambria" w:eastAsia="Calibri" w:hAnsi="Cambria"/>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w:t>
      </w:r>
      <w:r w:rsidRPr="00D3330B">
        <w:rPr>
          <w:rFonts w:ascii="Cambria" w:eastAsia="Calibri" w:hAnsi="Cambria"/>
          <w:sz w:val="22"/>
          <w:szCs w:val="22"/>
          <w:lang w:eastAsia="en-US"/>
        </w:rPr>
        <w:lastRenderedPageBreak/>
        <w:t>powiadomione podmioty określone w art. 75 ust. 1 Prawa budowlanego.</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sz w:val="22"/>
          <w:szCs w:val="22"/>
          <w:lang w:eastAsia="en-US"/>
        </w:rPr>
        <w:t>Nie jest katastrofą budowlaną:</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sz w:val="22"/>
          <w:szCs w:val="22"/>
          <w:lang w:eastAsia="en-US"/>
        </w:rPr>
        <w:t>a)</w:t>
      </w:r>
      <w:r w:rsidRPr="00D3330B">
        <w:rPr>
          <w:rFonts w:ascii="Cambria" w:eastAsia="Calibri" w:hAnsi="Cambria"/>
          <w:sz w:val="22"/>
          <w:szCs w:val="22"/>
          <w:lang w:eastAsia="en-US"/>
        </w:rPr>
        <w:tab/>
        <w:t>uszkodzenie elementu wbudowanego w obiekt budowlany, nadającego się do naprawy lub wymiany</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sz w:val="22"/>
          <w:szCs w:val="22"/>
          <w:lang w:eastAsia="en-US"/>
        </w:rPr>
        <w:t>b)</w:t>
      </w:r>
      <w:r w:rsidRPr="00D3330B">
        <w:rPr>
          <w:rFonts w:ascii="Cambria" w:eastAsia="Calibri" w:hAnsi="Cambria"/>
          <w:sz w:val="22"/>
          <w:szCs w:val="22"/>
          <w:lang w:eastAsia="en-US"/>
        </w:rPr>
        <w:tab/>
        <w:t>uszkodzenie lub zniszczenie urządzeń budowlanych związanych budynkami</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sz w:val="22"/>
          <w:szCs w:val="22"/>
          <w:lang w:eastAsia="en-US"/>
        </w:rPr>
        <w:t>c)</w:t>
      </w:r>
      <w:r w:rsidRPr="00D3330B">
        <w:rPr>
          <w:rFonts w:ascii="Cambria" w:eastAsia="Calibri" w:hAnsi="Cambria"/>
          <w:sz w:val="22"/>
          <w:szCs w:val="22"/>
          <w:lang w:eastAsia="en-US"/>
        </w:rPr>
        <w:tab/>
        <w:t>awaria instalacji</w:t>
      </w:r>
    </w:p>
    <w:p w:rsidR="009E0D21" w:rsidRPr="00D3330B" w:rsidRDefault="009E0D21" w:rsidP="009E0D21">
      <w:pPr>
        <w:widowControl w:val="0"/>
        <w:suppressAutoHyphens w:val="0"/>
        <w:spacing w:before="120"/>
        <w:jc w:val="both"/>
        <w:rPr>
          <w:rFonts w:ascii="Cambria" w:eastAsia="Calibri" w:hAnsi="Cambria"/>
          <w:sz w:val="22"/>
          <w:szCs w:val="22"/>
          <w:lang w:eastAsia="en-US"/>
        </w:rPr>
      </w:pPr>
      <w:r w:rsidRPr="00D3330B">
        <w:rPr>
          <w:rFonts w:ascii="Cambria" w:eastAsia="Calibri" w:hAnsi="Cambria"/>
          <w:sz w:val="22"/>
          <w:szCs w:val="22"/>
          <w:lang w:eastAsia="en-US"/>
        </w:rPr>
        <w:t xml:space="preserve">Limit odszkodowawczy w każdym okresie ubezpieczenia na jedno i wszystkie zdarzenia w zakresie </w:t>
      </w:r>
      <w:r w:rsidRPr="00481C52">
        <w:rPr>
          <w:rFonts w:ascii="Cambria" w:eastAsia="Calibri" w:hAnsi="Cambria"/>
          <w:sz w:val="22"/>
          <w:szCs w:val="22"/>
          <w:lang w:eastAsia="en-US"/>
        </w:rPr>
        <w:t>obligatoryjnym: 3 000 000,00 zł.</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5B130A">
        <w:rPr>
          <w:rFonts w:ascii="Cambria" w:eastAsia="Calibri" w:hAnsi="Cambria"/>
          <w:b/>
          <w:sz w:val="22"/>
          <w:szCs w:val="22"/>
          <w:lang w:eastAsia="en-US"/>
        </w:rPr>
        <w:t>Klauzula ubezpieczenia kradzieży stałych elementów budynków i budowli</w:t>
      </w:r>
      <w:r w:rsidRPr="005B130A">
        <w:rPr>
          <w:rFonts w:ascii="Cambria" w:eastAsia="Calibri" w:hAnsi="Cambria"/>
          <w:sz w:val="22"/>
          <w:szCs w:val="22"/>
          <w:lang w:eastAsia="en-US"/>
        </w:rPr>
        <w:t xml:space="preserve"> – bez względu na</w:t>
      </w:r>
      <w:r w:rsidRPr="007F2233">
        <w:rPr>
          <w:rFonts w:ascii="Cambria" w:eastAsia="Calibri" w:hAnsi="Cambria"/>
          <w:sz w:val="22"/>
          <w:szCs w:val="22"/>
          <w:lang w:eastAsia="en-US"/>
        </w:rPr>
        <w:t xml:space="preserve">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likwidacyjna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likwidacyjna auto casco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9E0D21" w:rsidRDefault="009E0D21" w:rsidP="009E0D21">
      <w:pPr>
        <w:widowControl w:val="0"/>
        <w:suppressAutoHyphens w:val="0"/>
        <w:jc w:val="both"/>
        <w:rPr>
          <w:rFonts w:ascii="Cambria" w:eastAsia="Calibri" w:hAnsi="Cambria"/>
          <w:color w:val="FF0000"/>
          <w:sz w:val="22"/>
          <w:szCs w:val="22"/>
          <w:lang w:eastAsia="en-US"/>
        </w:rPr>
      </w:pPr>
    </w:p>
    <w:p w:rsidR="009E0D21" w:rsidRPr="00AE2B4B" w:rsidRDefault="009E0D21" w:rsidP="009E0D21">
      <w:pPr>
        <w:suppressAutoHyphens w:val="0"/>
        <w:spacing w:before="120"/>
        <w:jc w:val="both"/>
        <w:rPr>
          <w:rFonts w:ascii="Cambria" w:eastAsia="Calibri" w:hAnsi="Cambria"/>
          <w:sz w:val="22"/>
          <w:szCs w:val="22"/>
          <w:lang w:eastAsia="en-US"/>
        </w:rPr>
      </w:pPr>
      <w:r w:rsidRPr="00AE2B4B">
        <w:rPr>
          <w:rFonts w:ascii="Cambria" w:eastAsia="Calibri" w:hAnsi="Cambria"/>
          <w:b/>
          <w:sz w:val="22"/>
          <w:szCs w:val="22"/>
          <w:lang w:eastAsia="en-US"/>
        </w:rPr>
        <w:t>Klauzula likwidacji istotnej szkody</w:t>
      </w:r>
      <w:r w:rsidRPr="00AE2B4B">
        <w:rPr>
          <w:rFonts w:ascii="Cambria" w:eastAsia="Calibri" w:hAnsi="Cambria"/>
          <w:sz w:val="22"/>
          <w:szCs w:val="22"/>
          <w:lang w:eastAsia="en-US"/>
        </w:rPr>
        <w:t xml:space="preserve"> – bez względu na postanowienia ogólnych bądź szczególnych warunków ubezpieczenia, strony umowy ubezpieczenia uzgodniły, że:</w:t>
      </w:r>
    </w:p>
    <w:p w:rsidR="009E0D21" w:rsidRDefault="009E0D21" w:rsidP="009E0D21">
      <w:pPr>
        <w:widowControl w:val="0"/>
        <w:suppressAutoHyphens w:val="0"/>
        <w:jc w:val="both"/>
        <w:rPr>
          <w:rFonts w:ascii="Cambria" w:eastAsia="Calibri" w:hAnsi="Cambria"/>
          <w:color w:val="FF0000"/>
          <w:sz w:val="22"/>
          <w:szCs w:val="22"/>
          <w:lang w:eastAsia="en-US"/>
        </w:rPr>
      </w:pPr>
      <w:r w:rsidRPr="00AE2B4B">
        <w:rPr>
          <w:rFonts w:ascii="Cambria" w:eastAsia="Calibri" w:hAnsi="Cambria"/>
          <w:sz w:val="22"/>
          <w:szCs w:val="22"/>
          <w:lang w:eastAsia="en-US"/>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AE2B4B">
        <w:rPr>
          <w:rFonts w:ascii="Cambria" w:eastAsia="Calibri" w:hAnsi="Cambria" w:cs="Arial"/>
          <w:sz w:val="22"/>
          <w:szCs w:val="22"/>
          <w:lang w:eastAsia="en-US"/>
        </w:rPr>
        <w:t xml:space="preserve"> Protokół zawierający opis zdarzenia, rozmiar szkody, wyliczenie jej wartości oraz sposób naprawy będzie podstawą do kalkulacji odszkodowania przez ubezpieczyciela. Limit </w:t>
      </w:r>
      <w:r w:rsidRPr="00AE2B4B">
        <w:rPr>
          <w:rFonts w:ascii="Cambria" w:eastAsia="Calibri" w:hAnsi="Cambria" w:cs="Arial"/>
          <w:sz w:val="22"/>
          <w:szCs w:val="22"/>
          <w:lang w:eastAsia="en-US"/>
        </w:rPr>
        <w:lastRenderedPageBreak/>
        <w:t>odpowiedzialności wynosi 20 000,00 zł na jedno i wszystkie zdarzenia w każdym okresie ubezpieczenia</w:t>
      </w:r>
    </w:p>
    <w:p w:rsidR="009E0D21" w:rsidRPr="007F2233" w:rsidRDefault="009E0D21" w:rsidP="009E0D21">
      <w:pPr>
        <w:widowControl w:val="0"/>
        <w:suppressAutoHyphens w:val="0"/>
        <w:jc w:val="both"/>
        <w:rPr>
          <w:rFonts w:ascii="Cambria" w:eastAsia="Calibri" w:hAnsi="Cambria"/>
          <w:color w:val="FF0000"/>
          <w:sz w:val="22"/>
          <w:szCs w:val="22"/>
          <w:lang w:eastAsia="en-US"/>
        </w:rPr>
      </w:pP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b/>
          <w:sz w:val="22"/>
          <w:szCs w:val="22"/>
          <w:lang w:eastAsia="en-US"/>
        </w:rPr>
        <w:t>Klauzula automatycznego pokrycia</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Pr>
          <w:rFonts w:ascii="Cambria" w:eastAsia="Calibri" w:hAnsi="Cambria"/>
          <w:sz w:val="22"/>
          <w:szCs w:val="22"/>
          <w:lang w:eastAsia="en-US"/>
        </w:rPr>
        <w:t>3</w:t>
      </w:r>
      <w:r w:rsidRPr="007F2233">
        <w:rPr>
          <w:rFonts w:ascii="Cambria" w:eastAsia="Calibri" w:hAnsi="Cambria"/>
          <w:sz w:val="22"/>
          <w:szCs w:val="22"/>
          <w:lang w:eastAsia="en-US"/>
        </w:rPr>
        <w:t xml:space="preserve"> mln zł ubezpieczyciel nie pobierze dodatkowej składki z tytułu doubezpieczenia mienia objętego niniejszą klauzulą.</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W sytuacji, gdy wartość nowo ubezpieczanego mienia przekroczy 20% sumy ubezpieczenia lub </w:t>
      </w:r>
      <w:r>
        <w:rPr>
          <w:rFonts w:ascii="Cambria" w:eastAsia="Calibri" w:hAnsi="Cambria"/>
          <w:sz w:val="22"/>
          <w:szCs w:val="22"/>
          <w:lang w:eastAsia="en-US"/>
        </w:rPr>
        <w:t>3</w:t>
      </w:r>
      <w:r w:rsidRPr="007F2233">
        <w:rPr>
          <w:rFonts w:ascii="Cambria" w:eastAsia="Calibri" w:hAnsi="Cambria"/>
          <w:sz w:val="22"/>
          <w:szCs w:val="22"/>
          <w:lang w:eastAsia="en-US"/>
        </w:rPr>
        <w:t xml:space="preserve"> mln złotych, ubezpieczyciel powiadomi o tym fakcie ubezpieczającego.</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może żądać dopłaty składki wyłącznie od nadwyżki ponad wyznaczony limit </w:t>
      </w:r>
      <w:r>
        <w:rPr>
          <w:rFonts w:ascii="Cambria" w:eastAsia="Calibri" w:hAnsi="Cambria"/>
          <w:sz w:val="22"/>
          <w:szCs w:val="22"/>
          <w:lang w:eastAsia="en-US"/>
        </w:rPr>
        <w:t>3</w:t>
      </w:r>
      <w:r w:rsidRPr="007F2233">
        <w:rPr>
          <w:rFonts w:ascii="Cambria" w:eastAsia="Calibri" w:hAnsi="Cambria"/>
          <w:sz w:val="22"/>
          <w:szCs w:val="22"/>
          <w:lang w:eastAsia="en-US"/>
        </w:rPr>
        <w:t xml:space="preserve"> mln zł.</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9E0D21" w:rsidRPr="007F2233" w:rsidRDefault="009E0D21" w:rsidP="009E0D21">
      <w:pPr>
        <w:widowControl w:val="0"/>
        <w:suppressAutoHyphens w:val="0"/>
        <w:jc w:val="both"/>
        <w:rPr>
          <w:rFonts w:ascii="Cambria" w:eastAsia="Calibri" w:hAnsi="Cambria"/>
          <w:sz w:val="22"/>
          <w:szCs w:val="22"/>
          <w:lang w:eastAsia="en-US"/>
        </w:rPr>
      </w:pP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rozmrożenia</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20 000,00 zł na jedno i wszystkie zdarzenia w każdym okresie ubezpieczenia.</w:t>
      </w:r>
    </w:p>
    <w:p w:rsidR="009E0D21" w:rsidRPr="007F2233" w:rsidRDefault="009E0D21" w:rsidP="009E0D21">
      <w:pPr>
        <w:suppressAutoHyphens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t xml:space="preserve">Klauzula usunięcia przyczyn awarii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ramach sumy ubezpieczenia oraz w zakresie zdarzeń ubezpieczeniowych objętych ochroną ubezpieczeniową ubezpieczyciel pokrywa:</w:t>
      </w:r>
    </w:p>
    <w:p w:rsidR="009E0D21" w:rsidRPr="007F2233" w:rsidRDefault="009E0D21" w:rsidP="009E0D21">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1) koszty poszukiwania i usunięcia awarii (w tym jej przyczyn) w instalacjach lub urządzeniach wodno-kanalizacyjnych, centralnego ogrzewania, elektrycznych oraz innych instalacjach </w:t>
      </w:r>
      <w:r w:rsidRPr="007F2233">
        <w:rPr>
          <w:rFonts w:ascii="Cambria" w:eastAsia="Calibri" w:hAnsi="Cambria"/>
          <w:sz w:val="22"/>
          <w:szCs w:val="22"/>
          <w:lang w:eastAsia="en-US"/>
        </w:rPr>
        <w:br/>
        <w:t>i urządzeniach technologicznych, w tym przeciwpożarowych, znajdujących się w miejscu ubezpieczenia;</w:t>
      </w:r>
    </w:p>
    <w:p w:rsidR="009E0D21" w:rsidRPr="007F2233" w:rsidRDefault="009E0D21" w:rsidP="009E0D21">
      <w:pPr>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2) koszty pomocnicze do limitu w wysokości 200 000,00 zł na jedno i wszystkie zdarzenia w każdym okresie ubezpieczenia. </w:t>
      </w:r>
    </w:p>
    <w:p w:rsidR="009E0D21" w:rsidRPr="007F2233" w:rsidRDefault="009E0D21" w:rsidP="009E0D21">
      <w:pPr>
        <w:suppressAutoHyphens w:val="0"/>
        <w:rPr>
          <w:rFonts w:ascii="Cambria" w:eastAsia="Calibri" w:hAnsi="Cambria"/>
          <w:sz w:val="22"/>
          <w:szCs w:val="22"/>
          <w:lang w:eastAsia="en-US"/>
        </w:rPr>
      </w:pPr>
      <w:r w:rsidRPr="007F2233">
        <w:rPr>
          <w:rFonts w:ascii="Cambria" w:eastAsia="Calibri" w:hAnsi="Cambria"/>
          <w:sz w:val="22"/>
          <w:szCs w:val="22"/>
          <w:lang w:eastAsia="en-US"/>
        </w:rPr>
        <w:t xml:space="preserve">Klauzula dotyczy również terenu wokół budynku. </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Niniejsza klauzula nie limituje szkód wyrządzonych w wyniku awarii urządzeń i instalacji wymienionych w pkt. 1 powyżej.</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daty stempla bankowego lub pocztowego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zbycia przedmiotu ubezpieczenia </w:t>
      </w:r>
      <w:r w:rsidRPr="007F2233">
        <w:rPr>
          <w:rFonts w:ascii="Cambria" w:eastAsia="Calibri" w:hAnsi="Cambria"/>
          <w:sz w:val="22"/>
          <w:szCs w:val="22"/>
          <w:lang w:eastAsia="en-US"/>
        </w:rPr>
        <w:t xml:space="preserve">– bez względu na postanowienia ogólnych bądź </w:t>
      </w:r>
      <w:r w:rsidRPr="007F2233">
        <w:rPr>
          <w:rFonts w:ascii="Cambria" w:eastAsia="Calibri" w:hAnsi="Cambria"/>
          <w:sz w:val="22"/>
          <w:szCs w:val="22"/>
          <w:lang w:eastAsia="en-US"/>
        </w:rPr>
        <w:lastRenderedPageBreak/>
        <w:t>szczególnych warunków ubezpieczenia, strony umowy ubezpieczenia uzgodniły, że:</w:t>
      </w:r>
    </w:p>
    <w:p w:rsidR="009E0D21" w:rsidRPr="007F2233" w:rsidRDefault="009E0D21" w:rsidP="009E0D21">
      <w:pPr>
        <w:widowControl w:val="0"/>
        <w:numPr>
          <w:ilvl w:val="0"/>
          <w:numId w:val="2"/>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9E0D21" w:rsidRPr="007F2233" w:rsidRDefault="009E0D21" w:rsidP="009E0D21">
      <w:pPr>
        <w:widowControl w:val="0"/>
        <w:numPr>
          <w:ilvl w:val="0"/>
          <w:numId w:val="2"/>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Jeżeli umowa ubezpieczenia nie wygasła na podstawie ust. 1 niniejszej klauzuli, nie wygasa ona także w przypadku powrotnego przejścia własności na ubezpieczającego lub ubezpieczonego.</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czasu ochrony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nieściągania rat niewymagalnych</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uznania stanu zabezpieczeń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uznania stanu zabezpieczeń (dotyczy ubezpieczeń komunikacyjnych)</w:t>
      </w:r>
      <w:r w:rsidRPr="007F2233">
        <w:rPr>
          <w:rFonts w:ascii="Cambria" w:eastAsia="Calibri" w:hAnsi="Cambria"/>
          <w:sz w:val="22"/>
          <w:szCs w:val="22"/>
          <w:lang w:eastAsia="en-US"/>
        </w:rPr>
        <w:t xml:space="preserve"> –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naprawy zabezpieczeń przeciwkradzieżowych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zgłaszania szkód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Na podstawie art. 818 § 1 K.C. ustala się termin powiadomienia ubezpieczyciela o wypadku ubezpieczeniowym na 7 dni od daty uzyskania przez ubezpieczającego lub ubezpieczonego </w:t>
      </w:r>
      <w:r w:rsidRPr="007F2233">
        <w:rPr>
          <w:rFonts w:ascii="Cambria" w:eastAsia="Calibri" w:hAnsi="Cambria"/>
          <w:sz w:val="22"/>
          <w:szCs w:val="22"/>
          <w:lang w:eastAsia="en-US"/>
        </w:rPr>
        <w:lastRenderedPageBreak/>
        <w:t>wiedzy o zajściu wypadku.</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niezawiadomienia w terminie o szkodzie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miejsc ubezpieczenia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9E0D21" w:rsidRPr="007F2233" w:rsidRDefault="009E0D21" w:rsidP="009E0D21">
      <w:pPr>
        <w:tabs>
          <w:tab w:val="left" w:pos="567"/>
        </w:tabs>
        <w:suppressAutoHyphens w:val="0"/>
        <w:spacing w:before="120"/>
        <w:jc w:val="both"/>
        <w:rPr>
          <w:rFonts w:ascii="Cambria" w:eastAsia="Calibri" w:hAnsi="Cambria"/>
          <w:sz w:val="22"/>
          <w:szCs w:val="22"/>
          <w:lang w:eastAsia="en-US"/>
        </w:rPr>
      </w:pPr>
      <w:r w:rsidRPr="007F2233">
        <w:rPr>
          <w:rFonts w:ascii="Cambria" w:eastAsia="Calibri" w:hAnsi="Cambria"/>
          <w:b/>
          <w:bCs/>
          <w:sz w:val="22"/>
          <w:szCs w:val="22"/>
          <w:lang w:eastAsia="en-US"/>
        </w:rPr>
        <w:t xml:space="preserve">Klauzula wyłączenia ryzyka z eksploatacji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0E35E7"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budynki, urządzenia i instalacje</w:t>
      </w:r>
      <w:r>
        <w:rPr>
          <w:rFonts w:ascii="Cambria" w:eastAsia="Calibri" w:hAnsi="Cambria"/>
          <w:sz w:val="22"/>
          <w:szCs w:val="22"/>
          <w:lang w:eastAsia="en-US"/>
        </w:rPr>
        <w:t xml:space="preserve"> (występujące w wykazie mienia </w:t>
      </w:r>
      <w:r w:rsidRPr="007F2233">
        <w:rPr>
          <w:rFonts w:ascii="Cambria" w:eastAsia="Calibri" w:hAnsi="Cambria"/>
          <w:sz w:val="22"/>
          <w:szCs w:val="22"/>
          <w:lang w:eastAsia="en-US"/>
        </w:rPr>
        <w:t xml:space="preserve">i przyszłe) wyłączone z eksploatacji oraz </w:t>
      </w:r>
      <w:r w:rsidRPr="007F2233">
        <w:rPr>
          <w:rFonts w:ascii="Cambria" w:hAnsi="Cambria"/>
          <w:bCs/>
          <w:iCs/>
          <w:sz w:val="22"/>
          <w:szCs w:val="22"/>
          <w:lang w:eastAsia="en-US"/>
        </w:rPr>
        <w:t>budynki i budowle przeznaczone do rozbiórki i znajdujące się w nich mienie oraz maszyny, urządzenia, wyposażenie przeznaczone do likwidacji (lub na złom) -</w:t>
      </w:r>
      <w:r w:rsidRPr="007F2233">
        <w:rPr>
          <w:rFonts w:ascii="Cambria" w:eastAsia="Calibri" w:hAnsi="Cambria"/>
          <w:sz w:val="22"/>
          <w:szCs w:val="22"/>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w:t>
      </w:r>
      <w:r w:rsidRPr="000E35E7">
        <w:rPr>
          <w:rFonts w:ascii="Cambria" w:eastAsia="Calibri" w:hAnsi="Cambria"/>
          <w:sz w:val="22"/>
          <w:szCs w:val="22"/>
          <w:lang w:eastAsia="en-US"/>
        </w:rPr>
        <w:t>000,00 zł na jedno i wszystkie zdarzenia w każdym okresie ubezpieczenia).</w:t>
      </w:r>
    </w:p>
    <w:p w:rsidR="009E0D21" w:rsidRPr="000E35E7" w:rsidRDefault="009E0D21" w:rsidP="009E0D21">
      <w:pPr>
        <w:widowControl w:val="0"/>
        <w:suppressAutoHyphens w:val="0"/>
        <w:spacing w:before="120"/>
        <w:jc w:val="both"/>
        <w:rPr>
          <w:rFonts w:ascii="Cambria" w:eastAsia="Calibri" w:hAnsi="Cambria"/>
          <w:sz w:val="22"/>
          <w:szCs w:val="22"/>
          <w:lang w:eastAsia="en-US"/>
        </w:rPr>
      </w:pPr>
      <w:r w:rsidRPr="000E35E7">
        <w:rPr>
          <w:rFonts w:ascii="Cambria" w:eastAsia="Calibri" w:hAnsi="Cambria"/>
          <w:b/>
          <w:sz w:val="22"/>
          <w:szCs w:val="22"/>
          <w:lang w:eastAsia="en-US"/>
        </w:rPr>
        <w:t xml:space="preserve">Klauzula robót budowlano – montażowych </w:t>
      </w:r>
      <w:r w:rsidRPr="000E35E7">
        <w:rPr>
          <w:rFonts w:ascii="Cambria" w:eastAsia="Calibri" w:hAnsi="Cambria"/>
          <w:sz w:val="22"/>
          <w:szCs w:val="22"/>
          <w:lang w:eastAsia="en-US"/>
        </w:rPr>
        <w:t>– bez względu na postanowienia ogólnych bądź szczególnych warunków ubezpieczenia, strony umowy ubezpieczenia uzgodniły, że:</w:t>
      </w:r>
    </w:p>
    <w:p w:rsidR="009E0D21" w:rsidRPr="000E35E7" w:rsidRDefault="009E0D21" w:rsidP="009E0D21">
      <w:pPr>
        <w:widowControl w:val="0"/>
        <w:suppressAutoHyphens w:val="0"/>
        <w:jc w:val="both"/>
        <w:rPr>
          <w:rFonts w:ascii="Cambria" w:eastAsia="Calibri" w:hAnsi="Cambria"/>
          <w:sz w:val="22"/>
          <w:szCs w:val="22"/>
          <w:lang w:eastAsia="en-US"/>
        </w:rPr>
      </w:pPr>
      <w:r w:rsidRPr="000E35E7">
        <w:rPr>
          <w:rFonts w:ascii="Cambria" w:eastAsia="Calibri" w:hAnsi="Cambria"/>
          <w:sz w:val="22"/>
          <w:szCs w:val="22"/>
          <w:lang w:eastAsia="en-US"/>
        </w:rPr>
        <w:t>Ubezpieczenie mienia od wszystkich ryzyk obejmuje także szkody powstałe w związku z prowadzeniem drobnych robót budowlano – montażowych w mieniu będącym:</w:t>
      </w:r>
    </w:p>
    <w:p w:rsidR="009E0D21" w:rsidRPr="000E35E7" w:rsidRDefault="009E0D21" w:rsidP="009E0D21">
      <w:pPr>
        <w:widowControl w:val="0"/>
        <w:numPr>
          <w:ilvl w:val="0"/>
          <w:numId w:val="16"/>
        </w:numPr>
        <w:suppressAutoHyphens w:val="0"/>
        <w:spacing w:after="200" w:line="276" w:lineRule="auto"/>
        <w:ind w:left="309"/>
        <w:contextualSpacing/>
        <w:jc w:val="both"/>
        <w:rPr>
          <w:rFonts w:ascii="Cambria" w:eastAsia="Calibri" w:hAnsi="Cambria"/>
          <w:sz w:val="22"/>
          <w:szCs w:val="22"/>
          <w:lang w:eastAsia="en-US"/>
        </w:rPr>
      </w:pPr>
      <w:r w:rsidRPr="000E35E7">
        <w:rPr>
          <w:rFonts w:ascii="Cambria" w:eastAsia="Calibri" w:hAnsi="Cambria"/>
          <w:sz w:val="22"/>
          <w:szCs w:val="22"/>
          <w:lang w:eastAsia="en-US"/>
        </w:rPr>
        <w:t>przedmiotem ubezpieczenia – do sum ubezpieczenia określonych w umowie ubezpieczenia,</w:t>
      </w:r>
    </w:p>
    <w:p w:rsidR="009E0D21" w:rsidRPr="000E35E7" w:rsidRDefault="009E0D21" w:rsidP="009E0D21">
      <w:pPr>
        <w:widowControl w:val="0"/>
        <w:numPr>
          <w:ilvl w:val="0"/>
          <w:numId w:val="16"/>
        </w:numPr>
        <w:suppressAutoHyphens w:val="0"/>
        <w:spacing w:after="200" w:line="276" w:lineRule="auto"/>
        <w:ind w:left="357" w:hanging="357"/>
        <w:contextualSpacing/>
        <w:jc w:val="both"/>
        <w:rPr>
          <w:rFonts w:ascii="Cambria" w:eastAsia="Calibri" w:hAnsi="Cambria"/>
          <w:sz w:val="22"/>
          <w:szCs w:val="22"/>
          <w:lang w:eastAsia="en-US"/>
        </w:rPr>
      </w:pPr>
      <w:r w:rsidRPr="000E35E7">
        <w:rPr>
          <w:rFonts w:ascii="Cambria" w:eastAsia="Calibri" w:hAnsi="Cambria"/>
          <w:sz w:val="22"/>
          <w:szCs w:val="22"/>
          <w:lang w:eastAsia="en-US"/>
        </w:rPr>
        <w:t>przedmiotem drobnych robót budowlano – montażowych, do kwoty  1 000 000,00 zł na wszystkie zdarzenia w każdym okresie ubezpieczenia, w zakresie i na warunkach określonych w umowie ubezpieczenia, pod warunkiem, że:</w:t>
      </w:r>
    </w:p>
    <w:p w:rsidR="009E0D21" w:rsidRPr="000E35E7" w:rsidRDefault="009E0D21" w:rsidP="009E0D21">
      <w:pPr>
        <w:widowControl w:val="0"/>
        <w:numPr>
          <w:ilvl w:val="0"/>
          <w:numId w:val="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E35E7">
        <w:rPr>
          <w:rFonts w:ascii="Cambria" w:eastAsia="Calibri" w:hAnsi="Cambria"/>
          <w:sz w:val="22"/>
          <w:szCs w:val="22"/>
          <w:lang w:eastAsia="en-US"/>
        </w:rPr>
        <w:t>prowadzone roboty nie wymagają zgody (pozwolenia na budowę) odpowiednich organów władzy zgodnie z obowiązującymi przepisami,</w:t>
      </w:r>
    </w:p>
    <w:p w:rsidR="009E0D21" w:rsidRPr="000E35E7" w:rsidRDefault="009E0D21" w:rsidP="009E0D21">
      <w:pPr>
        <w:widowControl w:val="0"/>
        <w:numPr>
          <w:ilvl w:val="0"/>
          <w:numId w:val="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E35E7">
        <w:rPr>
          <w:rFonts w:ascii="Cambria" w:eastAsia="Calibri" w:hAnsi="Cambria"/>
          <w:sz w:val="22"/>
          <w:szCs w:val="22"/>
          <w:lang w:eastAsia="en-US"/>
        </w:rPr>
        <w:t>wartość mienia będącego przedmiotem drobnych robót budowlano – montażowych w okresie ubezpieczenia nie przekroczy łącznie 1 000 000,00 zł, a pojedynczego kontraktu 200 000,00 zł</w:t>
      </w:r>
    </w:p>
    <w:p w:rsidR="009E0D21" w:rsidRPr="000E35E7" w:rsidRDefault="009E0D21" w:rsidP="009E0D21">
      <w:pPr>
        <w:widowControl w:val="0"/>
        <w:numPr>
          <w:ilvl w:val="0"/>
          <w:numId w:val="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E35E7">
        <w:rPr>
          <w:rFonts w:ascii="Cambria" w:eastAsia="Calibri" w:hAnsi="Cambria"/>
          <w:sz w:val="22"/>
          <w:szCs w:val="22"/>
          <w:lang w:eastAsia="en-US"/>
        </w:rPr>
        <w:t>realizacja drobnych robót budowlano – montażowych nie wiąże się z naruszeniem konstrukcji nośnej obiektu lub konstrukcji dachu,</w:t>
      </w:r>
    </w:p>
    <w:p w:rsidR="009E0D21" w:rsidRPr="000E35E7" w:rsidRDefault="009E0D21" w:rsidP="009E0D21">
      <w:pPr>
        <w:widowControl w:val="0"/>
        <w:numPr>
          <w:ilvl w:val="0"/>
          <w:numId w:val="3"/>
        </w:numPr>
        <w:tabs>
          <w:tab w:val="left" w:pos="360"/>
        </w:tabs>
        <w:suppressAutoHyphens w:val="0"/>
        <w:spacing w:after="200" w:line="276" w:lineRule="auto"/>
        <w:ind w:left="309"/>
        <w:contextualSpacing/>
        <w:jc w:val="both"/>
        <w:rPr>
          <w:rFonts w:ascii="Cambria" w:eastAsia="Calibri" w:hAnsi="Cambria"/>
          <w:sz w:val="22"/>
          <w:szCs w:val="22"/>
          <w:lang w:eastAsia="en-US"/>
        </w:rPr>
      </w:pPr>
      <w:r w:rsidRPr="000E35E7">
        <w:rPr>
          <w:rFonts w:ascii="Cambria" w:eastAsia="Calibri" w:hAnsi="Cambria"/>
          <w:sz w:val="22"/>
          <w:szCs w:val="22"/>
          <w:lang w:eastAsia="en-US"/>
        </w:rPr>
        <w:t xml:space="preserve">prowadzone roboty nie wymagają zgody (pozwolenia na budowę) odpowiednich organów </w:t>
      </w:r>
      <w:r w:rsidRPr="000E35E7">
        <w:rPr>
          <w:rFonts w:ascii="Cambria" w:eastAsia="Calibri" w:hAnsi="Cambria"/>
          <w:sz w:val="22"/>
          <w:szCs w:val="22"/>
          <w:lang w:eastAsia="en-US"/>
        </w:rPr>
        <w:lastRenderedPageBreak/>
        <w:t>władzy w rozumieniu ustawy z dnia 07.07.1994 r. Prawo budowlane (tj z 2017 r., poz. 1332 z późn. zm.),</w:t>
      </w:r>
    </w:p>
    <w:p w:rsidR="009E0D21" w:rsidRPr="000E35E7" w:rsidRDefault="009E0D21" w:rsidP="009E0D21">
      <w:pPr>
        <w:widowControl w:val="0"/>
        <w:numPr>
          <w:ilvl w:val="0"/>
          <w:numId w:val="3"/>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0E35E7">
        <w:rPr>
          <w:rFonts w:ascii="Cambria" w:eastAsia="Calibri" w:hAnsi="Cambria"/>
          <w:sz w:val="22"/>
          <w:szCs w:val="22"/>
          <w:lang w:eastAsia="en-US"/>
        </w:rPr>
        <w:t>drobne roboty budowlano – montażowe prowadzone są przez lub na zlecenie ubezpieczającego w obiektach oddanych do użytku/eksploatacji.</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sz w:val="22"/>
          <w:szCs w:val="22"/>
        </w:rPr>
        <w:t xml:space="preserve">Z zastrzeżeniem, że prace </w:t>
      </w:r>
      <w:r w:rsidRPr="000E35E7">
        <w:rPr>
          <w:rFonts w:ascii="Cambria" w:hAnsi="Cambria" w:cs="Cambria"/>
          <w:sz w:val="22"/>
          <w:szCs w:val="22"/>
        </w:rPr>
        <w:t>nie mają wpływu na sprawność urządzeń przeciwpożarowych lub</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innych zabezpieczeń, których istnienie Ubezpieczający zadeklarował</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we wniosku o ubezpieczenie.</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 xml:space="preserve">Z zakresu ochrony wyłączone są wszelkie szkody powstałe w istniejących </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instalacjach wodnych, wodno-kanalizacyjnych, gazowych,</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elektrycznych, telekomunikacyjnych, itp., jak również wszelkie szkody</w:t>
      </w:r>
    </w:p>
    <w:p w:rsidR="009E0D21" w:rsidRPr="000E35E7" w:rsidRDefault="009E0D21" w:rsidP="009E0D21">
      <w:pPr>
        <w:snapToGrid w:val="0"/>
        <w:spacing w:line="260" w:lineRule="exact"/>
        <w:jc w:val="both"/>
        <w:rPr>
          <w:rFonts w:ascii="Cambria" w:hAnsi="Cambria" w:cs="Cambria"/>
          <w:sz w:val="22"/>
          <w:szCs w:val="22"/>
        </w:rPr>
      </w:pPr>
      <w:r w:rsidRPr="000E35E7">
        <w:rPr>
          <w:rFonts w:ascii="Cambria" w:hAnsi="Cambria" w:cs="Cambria"/>
          <w:sz w:val="22"/>
          <w:szCs w:val="22"/>
        </w:rPr>
        <w:t>będące bezpośrednim lub pośrednim następstwem uszkodzenia takich instalacji w wyniku prowadzenia prac</w:t>
      </w:r>
    </w:p>
    <w:p w:rsidR="009E0D21" w:rsidRPr="000E35E7" w:rsidRDefault="009E0D21" w:rsidP="009E0D21">
      <w:pPr>
        <w:snapToGrid w:val="0"/>
        <w:spacing w:line="260" w:lineRule="exact"/>
        <w:jc w:val="both"/>
        <w:rPr>
          <w:rFonts w:ascii="Cambria" w:hAnsi="Cambria" w:cs="Cambria"/>
          <w:sz w:val="22"/>
          <w:szCs w:val="22"/>
        </w:rPr>
      </w:pPr>
    </w:p>
    <w:p w:rsidR="009E0D21" w:rsidRPr="00F67067" w:rsidRDefault="009E0D21" w:rsidP="009E0D21">
      <w:pPr>
        <w:snapToGrid w:val="0"/>
        <w:spacing w:line="260" w:lineRule="exact"/>
        <w:jc w:val="both"/>
        <w:rPr>
          <w:rFonts w:ascii="Cambria" w:hAnsi="Cambria" w:cs="Cambria"/>
          <w:color w:val="FF0000"/>
          <w:sz w:val="20"/>
          <w:szCs w:val="20"/>
        </w:rPr>
      </w:pPr>
      <w:r w:rsidRPr="007F2233">
        <w:rPr>
          <w:rFonts w:ascii="Cambria" w:eastAsia="Calibri" w:hAnsi="Cambria"/>
          <w:b/>
          <w:sz w:val="22"/>
          <w:szCs w:val="22"/>
          <w:lang w:eastAsia="en-US"/>
        </w:rPr>
        <w:t xml:space="preserve">Klauzula przechowywania mienia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Klauzula 72 godzin</w:t>
      </w:r>
      <w:r w:rsidRPr="007F2233">
        <w:rPr>
          <w:rFonts w:ascii="Cambria" w:eastAsia="Calibri" w:hAnsi="Cambria"/>
          <w:sz w:val="22"/>
          <w:szCs w:val="22"/>
          <w:lang w:eastAsia="en-US"/>
        </w:rPr>
        <w:t xml:space="preserve"> – bez względu na postanowienia ogólnych bądź szczególnych warunków ubezpieczenia, strony umowy ubezpieczenia uzgodniły, że: </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Ochroną ubezpieczeniową w zakresie odpowiedzialności cywilnej objęte są szkody kolejne powstałe z tej samej przyczyny, w tym samym miejscu do upływu 72 godzin od zgłoszenia pierwszej szkody.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włączenia rażącego niedbalstwa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sprzętu przenośnego poza miejscem ubezpieczenia </w:t>
      </w:r>
      <w:r w:rsidRPr="007F2233">
        <w:rPr>
          <w:rFonts w:ascii="Cambria" w:eastAsia="Calibri" w:hAnsi="Cambria"/>
          <w:sz w:val="22"/>
          <w:szCs w:val="22"/>
          <w:lang w:eastAsia="en-US"/>
        </w:rPr>
        <w:t xml:space="preserve">–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9E0D21" w:rsidRPr="007F2233" w:rsidRDefault="009E0D21" w:rsidP="009E0D21">
      <w:pPr>
        <w:widowControl w:val="0"/>
        <w:numPr>
          <w:ilvl w:val="0"/>
          <w:numId w:val="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pojazd posiada trwałe zadaszenie (jednolita, trwała konstrukcja),</w:t>
      </w:r>
    </w:p>
    <w:p w:rsidR="009E0D21" w:rsidRPr="007F2233" w:rsidRDefault="009E0D21" w:rsidP="009E0D21">
      <w:pPr>
        <w:widowControl w:val="0"/>
        <w:numPr>
          <w:ilvl w:val="0"/>
          <w:numId w:val="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 trakcie postoju podczas transportu pojazd został prawidłowo zamknięty na wszystkie istniejące zamki i – jeżeli pojazd ma zainstalowany – włączony został system alarmowy,</w:t>
      </w:r>
    </w:p>
    <w:p w:rsidR="009E0D21" w:rsidRDefault="009E0D21" w:rsidP="009E0D21">
      <w:pPr>
        <w:widowControl w:val="0"/>
        <w:numPr>
          <w:ilvl w:val="0"/>
          <w:numId w:val="4"/>
        </w:numPr>
        <w:tabs>
          <w:tab w:val="left" w:pos="360"/>
        </w:tabs>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sprzęt pozostawiony w pojeździe umieszczony został w niewidocznym miejscu (np. w bagażniku).</w:t>
      </w:r>
    </w:p>
    <w:p w:rsidR="009E0D21" w:rsidRPr="007F2233" w:rsidRDefault="009E0D21" w:rsidP="009E0D21">
      <w:pPr>
        <w:widowControl w:val="0"/>
        <w:tabs>
          <w:tab w:val="left" w:pos="360"/>
        </w:tabs>
        <w:suppressAutoHyphens w:val="0"/>
        <w:spacing w:after="200" w:line="276" w:lineRule="auto"/>
        <w:ind w:left="357"/>
        <w:contextualSpacing/>
        <w:jc w:val="both"/>
        <w:rPr>
          <w:rFonts w:ascii="Cambria" w:eastAsia="Calibri" w:hAnsi="Cambria"/>
          <w:sz w:val="22"/>
          <w:szCs w:val="22"/>
          <w:lang w:eastAsia="en-US"/>
        </w:rPr>
      </w:pP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sprzętu elektronicznego na stałe zamontowanego w pojazdach samochodowych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numPr>
          <w:ilvl w:val="0"/>
          <w:numId w:val="5"/>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9E0D21" w:rsidRPr="007F2233" w:rsidRDefault="009E0D21" w:rsidP="009E0D21">
      <w:pPr>
        <w:widowControl w:val="0"/>
        <w:numPr>
          <w:ilvl w:val="0"/>
          <w:numId w:val="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pojazd posiada trwałe zadaszenie (jednolita, sztywna konstrukcja),</w:t>
      </w:r>
    </w:p>
    <w:p w:rsidR="009E0D21" w:rsidRPr="007F2233" w:rsidRDefault="009E0D21" w:rsidP="009E0D21">
      <w:pPr>
        <w:widowControl w:val="0"/>
        <w:numPr>
          <w:ilvl w:val="0"/>
          <w:numId w:val="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 xml:space="preserve">w sytuacji, gdy szkoda powstała w trakcie postoju pojazd został prawidłowo zamknięty na wszystkie istniejące zamki i – jeżeli ma zainstalowany – włączony system alarmowy, </w:t>
      </w:r>
    </w:p>
    <w:p w:rsidR="009E0D21" w:rsidRPr="007F2233" w:rsidRDefault="009E0D21" w:rsidP="009E0D21">
      <w:pPr>
        <w:widowControl w:val="0"/>
        <w:numPr>
          <w:ilvl w:val="0"/>
          <w:numId w:val="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sprzęt, zgodnie z zaleceniami producenta, jest właściwie zamocowany.</w:t>
      </w:r>
    </w:p>
    <w:p w:rsidR="009E0D21" w:rsidRPr="007F2233" w:rsidRDefault="009E0D21" w:rsidP="009E0D21">
      <w:pPr>
        <w:widowControl w:val="0"/>
        <w:numPr>
          <w:ilvl w:val="0"/>
          <w:numId w:val="5"/>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Ubezpieczeniem nie są objęte szkody:</w:t>
      </w:r>
    </w:p>
    <w:p w:rsidR="009E0D21" w:rsidRPr="007F2233" w:rsidRDefault="009E0D21" w:rsidP="009E0D21">
      <w:pPr>
        <w:widowControl w:val="0"/>
        <w:numPr>
          <w:ilvl w:val="0"/>
          <w:numId w:val="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powstałe wskutek wypadku środka transportu, jeżeli wypadek został spowodowany złym stanem technicznym pojazdu należącego do ubezpieczającego,</w:t>
      </w:r>
    </w:p>
    <w:p w:rsidR="009E0D21" w:rsidRDefault="009E0D21" w:rsidP="009E0D21">
      <w:pPr>
        <w:widowControl w:val="0"/>
        <w:numPr>
          <w:ilvl w:val="0"/>
          <w:numId w:val="6"/>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objęte ubezpieczeniem auto casco pojazdu albo obowiązkowym ubezpieczeniem OC posiadacza pojazdu mechanicznego.</w:t>
      </w:r>
    </w:p>
    <w:p w:rsidR="009E0D21" w:rsidRDefault="009E0D21" w:rsidP="009E0D21">
      <w:pPr>
        <w:widowControl w:val="0"/>
        <w:tabs>
          <w:tab w:val="left" w:pos="360"/>
        </w:tabs>
        <w:suppressAutoHyphens w:val="0"/>
        <w:spacing w:after="200" w:line="276" w:lineRule="auto"/>
        <w:contextualSpacing/>
        <w:jc w:val="both"/>
        <w:rPr>
          <w:rFonts w:ascii="Cambria" w:eastAsia="Calibri" w:hAnsi="Cambria"/>
          <w:sz w:val="22"/>
          <w:szCs w:val="22"/>
          <w:lang w:eastAsia="en-US"/>
        </w:rPr>
      </w:pPr>
    </w:p>
    <w:p w:rsidR="009E0D21" w:rsidRPr="001D7909" w:rsidRDefault="009E0D21" w:rsidP="009E0D21">
      <w:pPr>
        <w:suppressAutoHyphens w:val="0"/>
        <w:spacing w:line="276" w:lineRule="auto"/>
        <w:jc w:val="both"/>
        <w:rPr>
          <w:rFonts w:ascii="Cambria" w:eastAsia="Calibri" w:hAnsi="Cambria"/>
          <w:sz w:val="22"/>
          <w:szCs w:val="22"/>
          <w:lang w:eastAsia="en-US"/>
        </w:rPr>
      </w:pPr>
      <w:r w:rsidRPr="001D7909">
        <w:rPr>
          <w:rFonts w:ascii="Cambria" w:eastAsia="Calibri" w:hAnsi="Cambria"/>
          <w:b/>
          <w:bCs/>
          <w:sz w:val="22"/>
          <w:szCs w:val="22"/>
          <w:lang w:eastAsia="en-US"/>
        </w:rPr>
        <w:t>Klauzula ubezpieczenia sprzętu elektronicznego zakupionego w promocji</w:t>
      </w:r>
      <w:r w:rsidRPr="001D7909">
        <w:rPr>
          <w:rFonts w:ascii="Cambria" w:eastAsia="Calibri" w:hAnsi="Cambria"/>
          <w:sz w:val="22"/>
          <w:szCs w:val="22"/>
          <w:lang w:eastAsia="en-US"/>
        </w:rPr>
        <w:t xml:space="preserve"> – bez względu </w:t>
      </w:r>
      <w:r w:rsidRPr="001D7909">
        <w:rPr>
          <w:rFonts w:ascii="Cambria" w:eastAsia="Calibri" w:hAnsi="Cambria"/>
          <w:sz w:val="22"/>
          <w:szCs w:val="22"/>
          <w:lang w:eastAsia="en-US"/>
        </w:rPr>
        <w:br/>
        <w:t>na postanowienia ogólnych bądź szczególnych warunków ubezpieczenia, strony umowy ubezpieczenia uzgodniły, że:</w:t>
      </w:r>
    </w:p>
    <w:p w:rsidR="009E0D21" w:rsidRPr="001D7909" w:rsidRDefault="009E0D21" w:rsidP="009E0D21">
      <w:pPr>
        <w:widowControl w:val="0"/>
        <w:suppressAutoHyphens w:val="0"/>
        <w:jc w:val="both"/>
        <w:rPr>
          <w:rFonts w:ascii="Cambria" w:hAnsi="Cambria"/>
          <w:b/>
          <w:bCs/>
          <w:sz w:val="22"/>
          <w:szCs w:val="22"/>
          <w:lang w:eastAsia="en-US"/>
        </w:rPr>
      </w:pPr>
      <w:r w:rsidRPr="001D7909">
        <w:rPr>
          <w:rFonts w:ascii="Cambria" w:eastAsia="Calibri" w:hAnsi="Cambria"/>
          <w:sz w:val="22"/>
          <w:szCs w:val="22"/>
          <w:lang w:eastAsia="en-US"/>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9E0D21" w:rsidRPr="007F2233" w:rsidRDefault="009E0D21" w:rsidP="009E0D21">
      <w:pPr>
        <w:widowControl w:val="0"/>
        <w:tabs>
          <w:tab w:val="left" w:pos="360"/>
        </w:tabs>
        <w:suppressAutoHyphens w:val="0"/>
        <w:spacing w:after="200" w:line="276" w:lineRule="auto"/>
        <w:contextualSpacing/>
        <w:jc w:val="both"/>
        <w:rPr>
          <w:rFonts w:ascii="Cambria" w:eastAsia="Calibri" w:hAnsi="Cambria"/>
          <w:sz w:val="22"/>
          <w:szCs w:val="22"/>
          <w:lang w:eastAsia="en-US"/>
        </w:rPr>
      </w:pP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szkód mechanicznych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dodatkowo maszyny, urządzenia, aparaty od szkód mechanicznych spowodowanych:</w:t>
      </w:r>
    </w:p>
    <w:p w:rsidR="009E0D21" w:rsidRPr="007F2233" w:rsidRDefault="009E0D21" w:rsidP="009E0D21">
      <w:pPr>
        <w:widowControl w:val="0"/>
        <w:numPr>
          <w:ilvl w:val="0"/>
          <w:numId w:val="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działaniem człowieka,</w:t>
      </w:r>
    </w:p>
    <w:p w:rsidR="009E0D21" w:rsidRPr="007F2233" w:rsidRDefault="009E0D21" w:rsidP="009E0D21">
      <w:pPr>
        <w:widowControl w:val="0"/>
        <w:numPr>
          <w:ilvl w:val="0"/>
          <w:numId w:val="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wadami produkcyjnymi,</w:t>
      </w:r>
    </w:p>
    <w:p w:rsidR="009E0D21" w:rsidRPr="007F2233" w:rsidRDefault="009E0D21" w:rsidP="009E0D21">
      <w:pPr>
        <w:widowControl w:val="0"/>
        <w:numPr>
          <w:ilvl w:val="0"/>
          <w:numId w:val="7"/>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przyczynami eksploatacyjnymi.</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 szkody spowodowane:</w:t>
      </w:r>
    </w:p>
    <w:p w:rsidR="009E0D21" w:rsidRPr="007F2233" w:rsidRDefault="009E0D21" w:rsidP="009E0D21">
      <w:pPr>
        <w:widowControl w:val="0"/>
        <w:numPr>
          <w:ilvl w:val="0"/>
          <w:numId w:val="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działaniem człowieka – uważa się szkody powstałe wskutek nieumyślnego błędu uprawnionych do obsługi osób oraz umyślnego uszkodzenia (zniszczenia) przez osoby trzecie,</w:t>
      </w:r>
    </w:p>
    <w:p w:rsidR="009E0D21" w:rsidRPr="007F2233" w:rsidRDefault="009E0D21" w:rsidP="009E0D21">
      <w:pPr>
        <w:widowControl w:val="0"/>
        <w:numPr>
          <w:ilvl w:val="0"/>
          <w:numId w:val="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9E0D21" w:rsidRPr="007F2233" w:rsidRDefault="009E0D21" w:rsidP="009E0D21">
      <w:pPr>
        <w:widowControl w:val="0"/>
        <w:numPr>
          <w:ilvl w:val="0"/>
          <w:numId w:val="8"/>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Dotyczy grup 3,4,5,6 i 8 KŚT. Limit odpowiedzialności: 50 000,00 zł na jedno i wszystkie zdarzenia w okresie ubezpieczenia. Franszyza redukcyjna: 300,00 zł</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szkód elektrycznych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7F2233">
        <w:rPr>
          <w:rFonts w:ascii="Cambria" w:hAnsi="Cambria"/>
          <w:sz w:val="22"/>
          <w:szCs w:val="22"/>
          <w:lang w:eastAsia="pl-PL"/>
        </w:rPr>
        <w:t xml:space="preserve"> natężenia lub częstotliwości sieci zasilającej</w:t>
      </w:r>
      <w:r w:rsidRPr="007F2233">
        <w:rPr>
          <w:rFonts w:ascii="Cambria" w:eastAsia="Calibri" w:hAnsi="Cambria"/>
          <w:sz w:val="22"/>
          <w:szCs w:val="22"/>
          <w:lang w:eastAsia="en-US"/>
        </w:rPr>
        <w:t>, przegrzania, okopcenia, </w:t>
      </w:r>
      <w:r w:rsidRPr="007F2233">
        <w:rPr>
          <w:rFonts w:ascii="Cambria" w:hAnsi="Cambria"/>
          <w:sz w:val="22"/>
          <w:szCs w:val="22"/>
          <w:lang w:eastAsia="pl-PL"/>
        </w:rPr>
        <w:t xml:space="preserve">niezadziałania lub wadliwego funkcjonowania zabezpieczeń chroniących maszyny </w:t>
      </w:r>
      <w:r w:rsidRPr="007F2233">
        <w:rPr>
          <w:rFonts w:ascii="Cambria" w:hAnsi="Cambria"/>
          <w:sz w:val="22"/>
          <w:szCs w:val="22"/>
          <w:lang w:eastAsia="pl-PL"/>
        </w:rPr>
        <w:br/>
        <w:t>i aparaty elektryczne,</w:t>
      </w:r>
      <w:r w:rsidRPr="007F2233">
        <w:rPr>
          <w:rFonts w:ascii="Cambria" w:hAnsi="Cambria"/>
          <w:sz w:val="22"/>
          <w:szCs w:val="22"/>
          <w:shd w:val="clear" w:color="auto" w:fill="FFFFFF"/>
          <w:lang w:eastAsia="pl-PL"/>
        </w:rPr>
        <w:t xml:space="preserve"> urządzeń sygnalizacyjnych lub kontrolno-pomiarowych</w:t>
      </w:r>
      <w:r w:rsidRPr="007F2233">
        <w:rPr>
          <w:rFonts w:ascii="Cambria" w:eastAsia="Calibri" w:hAnsi="Cambria"/>
          <w:sz w:val="22"/>
          <w:szCs w:val="22"/>
          <w:lang w:eastAsia="en-US"/>
        </w:rPr>
        <w:t xml:space="preserve"> itp.</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Limit odpowiedzialności na jedno i wszystkie zdarzenia w okresie ubezpieczenia: 50 000,00 zł </w:t>
      </w:r>
      <w:r w:rsidRPr="007F2233">
        <w:rPr>
          <w:rFonts w:ascii="Cambria" w:eastAsia="Calibri" w:hAnsi="Cambria"/>
          <w:sz w:val="22"/>
          <w:szCs w:val="22"/>
          <w:lang w:eastAsia="en-US"/>
        </w:rPr>
        <w:lastRenderedPageBreak/>
        <w:t>na jedno i wszystkie zdarzenia w okresie ubezpieczenia. Franszyza redukcyjna: 50,00 zł w każdej szkodzie.</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reprezentantów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nie odpowiada wyłącznie za szkody wyrządzone umyślnie przez reprezentantów ubezpieczającego/ubezpieczonego, przy czym za reprezentantów bezpieczającego/ubezpieczonego uważa się Wójta i jego pełnomocników, tj. osoby posiadające pisemne upoważnienie do działania w jego imieniu.</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od daty dostawy do daty włączenia do eksploatacji </w:t>
      </w:r>
      <w:r w:rsidRPr="007F2233">
        <w:rPr>
          <w:rFonts w:ascii="Cambria" w:eastAsia="Calibri" w:hAnsi="Cambria"/>
          <w:sz w:val="22"/>
          <w:szCs w:val="22"/>
          <w:lang w:eastAsia="en-US"/>
        </w:rPr>
        <w:t xml:space="preserve">– bez względu </w:t>
      </w:r>
      <w:r w:rsidRPr="007F2233">
        <w:rPr>
          <w:rFonts w:ascii="Cambria" w:eastAsia="Calibri" w:hAnsi="Cambria"/>
          <w:sz w:val="22"/>
          <w:szCs w:val="22"/>
          <w:lang w:eastAsia="en-US"/>
        </w:rPr>
        <w:br/>
        <w:t>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tymczasowego magazynowania lub chwilowej przerwy w eksploatacji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OC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usunięcia pozostałości po szkodzie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7F2233">
        <w:rPr>
          <w:rFonts w:ascii="Cambria" w:eastAsia="Calibri" w:hAnsi="Cambria"/>
          <w:sz w:val="22"/>
          <w:szCs w:val="22"/>
          <w:lang w:eastAsia="en-US"/>
        </w:rPr>
        <w:br/>
        <w:t>1 000 000,00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wynagrodzenia rzeczoznawców i ekspertów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wadliwego wykonania prac, czynności lub usług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Rozszerza się zakres ubezpieczenia o odpowiedzialność cywilną </w:t>
      </w:r>
      <w:r w:rsidRPr="007F2233">
        <w:rPr>
          <w:rFonts w:ascii="Cambria" w:eastAsia="Calibri" w:hAnsi="Cambria"/>
          <w:sz w:val="22"/>
          <w:szCs w:val="22"/>
          <w:lang w:eastAsia="en-US"/>
        </w:rPr>
        <w:lastRenderedPageBreak/>
        <w:t>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zmian w odbudowie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odnowienia lub odtworzenia dokumentów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odpowiedzialności wynosi 50 000,00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kosztów dodatkowych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uzasadnione i udokumentowane przez ubezpieczającego /ubezpieczonego nakłady związane z:</w:t>
      </w:r>
    </w:p>
    <w:p w:rsidR="009E0D21" w:rsidRPr="007F2233" w:rsidRDefault="009E0D21" w:rsidP="009E0D21">
      <w:pPr>
        <w:widowControl w:val="0"/>
        <w:numPr>
          <w:ilvl w:val="0"/>
          <w:numId w:val="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9E0D21" w:rsidRPr="007F2233" w:rsidRDefault="009E0D21" w:rsidP="009E0D21">
      <w:pPr>
        <w:widowControl w:val="0"/>
        <w:numPr>
          <w:ilvl w:val="0"/>
          <w:numId w:val="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9E0D21" w:rsidRPr="007F2233" w:rsidRDefault="009E0D21" w:rsidP="009E0D21">
      <w:pPr>
        <w:widowControl w:val="0"/>
        <w:numPr>
          <w:ilvl w:val="0"/>
          <w:numId w:val="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9E0D21" w:rsidRPr="007F2233" w:rsidRDefault="009E0D21" w:rsidP="009E0D21">
      <w:pPr>
        <w:widowControl w:val="0"/>
        <w:numPr>
          <w:ilvl w:val="0"/>
          <w:numId w:val="9"/>
        </w:numPr>
        <w:suppressAutoHyphens w:val="0"/>
        <w:spacing w:after="200" w:line="276" w:lineRule="auto"/>
        <w:ind w:left="357"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lastRenderedPageBreak/>
        <w:t>Limit odszkodowawczy ponad sumę ubezpieczenia: 500 000,00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dodatkowej prewencyjnej sumy ubezpieczenia </w:t>
      </w:r>
      <w:r w:rsidRPr="007F2233">
        <w:rPr>
          <w:rFonts w:ascii="Cambria" w:eastAsia="Calibri" w:hAnsi="Cambria"/>
          <w:sz w:val="22"/>
          <w:szCs w:val="22"/>
          <w:lang w:eastAsia="en-US"/>
        </w:rPr>
        <w:t xml:space="preserve">– bez względu na postanowienia ogólnych bądź szczególnych warunków ubezpieczenia, strony umowy ubezpieczenia uzgodniły, że:   </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Limit odszkodowawczy: 1 000 000,00 zł na jedno i wszystkie zdarzenia w każdym okresie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automatycznego pokrycia konsumpcji sumy ubezpieczenia w ubezpieczeniu mienia systemem sum stałych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Klauzula nie ma zastosowania jeżeli ogólne (szczególne) warunki ubezpieczenia nie przewidują konsumpcji sumy ubezpieczenia.</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ubezpieczenia mienia w transporcie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ryzyka objęte ochroną w zakresie ubezpieczenia mienia od wszystkich ryzyk, w tym na podstawie klauzul dodatkowych,</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wypadku pojazdu, za pomocą którego dokonywany był transport,</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mienia będącej następstwem wypadku pojazdu, za pomocą którego dokonywany był transport,</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pojazdu wraz z przewożonym przez ten pojazd mieniem,</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rabunku,</w:t>
      </w:r>
    </w:p>
    <w:p w:rsidR="009E0D21" w:rsidRPr="007F2233" w:rsidRDefault="009E0D21" w:rsidP="009E0D21">
      <w:pPr>
        <w:widowControl w:val="0"/>
        <w:numPr>
          <w:ilvl w:val="0"/>
          <w:numId w:val="10"/>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uszkodzenie lub zniszczenie w trakcie załadunku i rozładunku.</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Odszkodowanie za szkody będące następstwem zdarzeń, o których mowa powyżej ograniczone jest do limitu w wysokości 100 000,00 zł na jeden transport</w:t>
      </w:r>
      <w:r>
        <w:rPr>
          <w:rFonts w:ascii="Cambria" w:eastAsia="Calibri" w:hAnsi="Cambria"/>
          <w:sz w:val="22"/>
          <w:szCs w:val="22"/>
          <w:lang w:eastAsia="en-US"/>
        </w:rPr>
        <w:t xml:space="preserve"> i 500 000 zł na wszystkie transporty</w:t>
      </w:r>
      <w:r w:rsidRPr="007F2233">
        <w:rPr>
          <w:rFonts w:ascii="Cambria" w:eastAsia="Calibri" w:hAnsi="Cambria"/>
          <w:sz w:val="22"/>
          <w:szCs w:val="22"/>
          <w:lang w:eastAsia="en-US"/>
        </w:rPr>
        <w:t>. Wysokość szkody oraz odszkodowania ustala się zgodnie z zasadami przyjętymi dla ubezpieczenia mienia od wszystkich ryzyk. Postanowienia niniejszej klauzuli nie dotyczą transportu wartości pieniężnych.</w:t>
      </w:r>
    </w:p>
    <w:p w:rsidR="009E0D21" w:rsidRPr="007F2233" w:rsidRDefault="009E0D21" w:rsidP="009E0D21">
      <w:pPr>
        <w:widowControl w:val="0"/>
        <w:suppressAutoHyphens w:val="0"/>
        <w:spacing w:before="120"/>
        <w:jc w:val="both"/>
        <w:rPr>
          <w:rFonts w:ascii="Cambria" w:eastAsia="Calibri" w:hAnsi="Cambria"/>
          <w:sz w:val="22"/>
          <w:szCs w:val="22"/>
          <w:lang w:eastAsia="en-US"/>
        </w:rPr>
      </w:pPr>
      <w:r w:rsidRPr="007F2233">
        <w:rPr>
          <w:rFonts w:ascii="Cambria" w:eastAsia="Calibri" w:hAnsi="Cambria"/>
          <w:b/>
          <w:sz w:val="22"/>
          <w:szCs w:val="22"/>
          <w:lang w:eastAsia="en-US"/>
        </w:rPr>
        <w:t xml:space="preserve">Klauzula strajków i zamieszek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numPr>
          <w:ilvl w:val="0"/>
          <w:numId w:val="1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Ubezpieczyciel pokrywa do ustalonego limitu – 500 000,00 zł – szkody powstałe w wyniku zdarzeń określonych w umowie ubezpieczenia, a powstałe w czasie trwania: strajku, zamieszek i rozruchów społecznych.</w:t>
      </w:r>
    </w:p>
    <w:p w:rsidR="009E0D21" w:rsidRPr="007F2233" w:rsidRDefault="009E0D21" w:rsidP="009E0D21">
      <w:pPr>
        <w:widowControl w:val="0"/>
        <w:numPr>
          <w:ilvl w:val="0"/>
          <w:numId w:val="1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Ubezpieczenie nie obejmuje szkód powstałych wskutek lub mających pośredni lub bezpośredni związek z następującymi zdarzeniami:</w:t>
      </w:r>
    </w:p>
    <w:p w:rsidR="009E0D21" w:rsidRPr="007F2233" w:rsidRDefault="009E0D21" w:rsidP="009E0D21">
      <w:pPr>
        <w:widowControl w:val="0"/>
        <w:numPr>
          <w:ilvl w:val="0"/>
          <w:numId w:val="1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wojna, inwazja, działanie nieprzyjacielskie, działania wojenne (niezależnie od tego, czy wojna została wypowiedziana, czy nie), wojna domowa,</w:t>
      </w:r>
    </w:p>
    <w:p w:rsidR="009E0D21" w:rsidRPr="007F2233" w:rsidRDefault="009E0D21" w:rsidP="009E0D21">
      <w:pPr>
        <w:widowControl w:val="0"/>
        <w:numPr>
          <w:ilvl w:val="0"/>
          <w:numId w:val="1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bunt, zamieszki społeczne o charakterze powstania powszechnego, powstanie zbrojne, rebelia, rewolucja, działanie władzy wojskowej lub uzurpowanej.</w:t>
      </w:r>
    </w:p>
    <w:p w:rsidR="009E0D21" w:rsidRPr="007F2233" w:rsidRDefault="009E0D21" w:rsidP="009E0D21">
      <w:pPr>
        <w:widowControl w:val="0"/>
        <w:numPr>
          <w:ilvl w:val="0"/>
          <w:numId w:val="11"/>
        </w:numPr>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Ponadto z ochrony ubezpieczeniowej wyłącza się szkody:</w:t>
      </w:r>
    </w:p>
    <w:p w:rsidR="009E0D21" w:rsidRPr="007F2233" w:rsidRDefault="009E0D21" w:rsidP="009E0D21">
      <w:pPr>
        <w:widowControl w:val="0"/>
        <w:numPr>
          <w:ilvl w:val="0"/>
          <w:numId w:val="1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wynikłe z całkowitego lub częściowego zaprzestania działalności, opóźnień lub zakłóceń działalności,</w:t>
      </w:r>
    </w:p>
    <w:p w:rsidR="009E0D21" w:rsidRDefault="009E0D21" w:rsidP="009E0D21">
      <w:pPr>
        <w:widowControl w:val="0"/>
        <w:numPr>
          <w:ilvl w:val="0"/>
          <w:numId w:val="12"/>
        </w:numPr>
        <w:tabs>
          <w:tab w:val="left" w:pos="720"/>
        </w:tabs>
        <w:suppressAutoHyphens w:val="0"/>
        <w:spacing w:after="200" w:line="276" w:lineRule="auto"/>
        <w:contextualSpacing/>
        <w:jc w:val="both"/>
        <w:rPr>
          <w:rFonts w:ascii="Cambria" w:eastAsia="Calibri" w:hAnsi="Cambria"/>
          <w:sz w:val="22"/>
          <w:szCs w:val="22"/>
          <w:lang w:eastAsia="en-US"/>
        </w:rPr>
      </w:pPr>
      <w:r w:rsidRPr="007F2233">
        <w:rPr>
          <w:rFonts w:ascii="Cambria" w:eastAsia="Calibri" w:hAnsi="Cambria"/>
          <w:sz w:val="22"/>
          <w:szCs w:val="22"/>
          <w:lang w:eastAsia="en-US"/>
        </w:rPr>
        <w:t>powstałe wskutek trwałego lub tymczasowego zajęcia, w wyniku konfiskaty lub rekwizycji przez legalną władzę.</w:t>
      </w:r>
    </w:p>
    <w:p w:rsidR="009E0D21" w:rsidRPr="007F2233" w:rsidRDefault="009E0D21" w:rsidP="009E0D21">
      <w:pPr>
        <w:widowControl w:val="0"/>
        <w:tabs>
          <w:tab w:val="left" w:pos="720"/>
        </w:tabs>
        <w:suppressAutoHyphens w:val="0"/>
        <w:spacing w:after="200" w:line="276" w:lineRule="auto"/>
        <w:ind w:left="720"/>
        <w:contextualSpacing/>
        <w:jc w:val="both"/>
        <w:rPr>
          <w:rFonts w:ascii="Cambria" w:eastAsia="Calibri" w:hAnsi="Cambria"/>
          <w:sz w:val="22"/>
          <w:szCs w:val="22"/>
          <w:lang w:eastAsia="en-US"/>
        </w:rPr>
      </w:pPr>
    </w:p>
    <w:p w:rsidR="009E0D21" w:rsidRPr="007F2233" w:rsidRDefault="009E0D21" w:rsidP="009E0D21">
      <w:pPr>
        <w:suppressAutoHyphens w:val="0"/>
        <w:spacing w:before="120"/>
        <w:jc w:val="both"/>
        <w:rPr>
          <w:rFonts w:ascii="Cambria" w:eastAsia="Calibri" w:hAnsi="Cambria"/>
          <w:b/>
          <w:bCs/>
          <w:sz w:val="22"/>
          <w:szCs w:val="22"/>
          <w:lang w:eastAsia="en-US"/>
        </w:rPr>
      </w:pPr>
      <w:r w:rsidRPr="007F2233">
        <w:rPr>
          <w:rFonts w:ascii="Cambria" w:eastAsia="Calibri" w:hAnsi="Cambria"/>
          <w:b/>
          <w:bCs/>
          <w:sz w:val="22"/>
          <w:szCs w:val="22"/>
          <w:lang w:eastAsia="en-US"/>
        </w:rPr>
        <w:t xml:space="preserve">Klauzula kosztów przeniesienia mienia i przekwaterowania osób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bCs/>
          <w:sz w:val="22"/>
          <w:szCs w:val="22"/>
          <w:lang w:eastAsia="en-US"/>
        </w:rPr>
        <w:t xml:space="preserve">W przypadku szkody powstałej w ubezpieczonym budynku w wyniku ognia lub wybuchu, ubezpieczyciel pokrywa niezbędne koszty przeniesienia mienia znajdującego się w budynku oraz niezbędne koszty przekwaterowania osób zamieszkałych. Limit odpowiedzialności na jedno </w:t>
      </w:r>
      <w:r w:rsidRPr="007F2233">
        <w:rPr>
          <w:rFonts w:ascii="Cambria" w:eastAsia="Calibri" w:hAnsi="Cambria"/>
          <w:bCs/>
          <w:sz w:val="22"/>
          <w:szCs w:val="22"/>
          <w:lang w:eastAsia="en-US"/>
        </w:rPr>
        <w:br/>
        <w:t>i wszystkie zdarzenia: 50 000,00 zł w każdym okresie ubezpieczenia.</w:t>
      </w:r>
    </w:p>
    <w:p w:rsidR="009E0D21" w:rsidRPr="007F2233" w:rsidRDefault="009E0D21" w:rsidP="009E0D21">
      <w:pPr>
        <w:suppressAutoHyphens w:val="0"/>
        <w:spacing w:before="120"/>
        <w:jc w:val="both"/>
        <w:rPr>
          <w:rFonts w:ascii="Cambria" w:eastAsia="Calibri" w:hAnsi="Cambria"/>
          <w:iCs/>
          <w:sz w:val="22"/>
          <w:szCs w:val="22"/>
          <w:lang w:eastAsia="en-US"/>
        </w:rPr>
      </w:pPr>
      <w:r w:rsidRPr="007F2233">
        <w:rPr>
          <w:rFonts w:ascii="Cambria" w:eastAsia="Calibri" w:hAnsi="Cambria"/>
          <w:b/>
          <w:sz w:val="22"/>
          <w:szCs w:val="22"/>
          <w:lang w:eastAsia="en-US"/>
        </w:rPr>
        <w:t xml:space="preserve">Klauzula współwłasności mienia </w:t>
      </w:r>
      <w:r w:rsidRPr="007F2233">
        <w:rPr>
          <w:rFonts w:ascii="Cambria" w:eastAsia="Calibri" w:hAnsi="Cambria"/>
          <w:sz w:val="22"/>
          <w:szCs w:val="22"/>
          <w:lang w:eastAsia="en-US"/>
        </w:rPr>
        <w:t xml:space="preserve">– bez względu na postanowienia ogólnych bądź szczególnych warunków ubezpieczenia, strony umowy ubezpieczenia uzgodniły, że: </w:t>
      </w:r>
      <w:r w:rsidRPr="007F2233">
        <w:rPr>
          <w:rFonts w:ascii="Cambria" w:eastAsia="Calibri" w:hAnsi="Cambria"/>
          <w:b/>
          <w:sz w:val="22"/>
          <w:szCs w:val="22"/>
          <w:lang w:eastAsia="en-US"/>
        </w:rPr>
        <w:t xml:space="preserve">  </w:t>
      </w:r>
    </w:p>
    <w:p w:rsidR="009E0D21" w:rsidRPr="007F2233" w:rsidRDefault="009E0D21" w:rsidP="009E0D21">
      <w:pPr>
        <w:suppressAutoHyphens w:val="0"/>
        <w:autoSpaceDE w:val="0"/>
        <w:autoSpaceDN w:val="0"/>
        <w:adjustRightInd w:val="0"/>
        <w:jc w:val="both"/>
        <w:rPr>
          <w:rFonts w:ascii="Cambria" w:eastAsia="Calibri" w:hAnsi="Cambria"/>
          <w:sz w:val="22"/>
          <w:szCs w:val="22"/>
          <w:lang w:eastAsia="en-US"/>
        </w:rPr>
      </w:pPr>
      <w:r w:rsidRPr="007F2233">
        <w:rPr>
          <w:rFonts w:ascii="Cambria" w:eastAsia="Calibri" w:hAnsi="Cambria"/>
          <w:sz w:val="22"/>
          <w:szCs w:val="22"/>
          <w:lang w:eastAsia="en-US"/>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7F2233">
        <w:rPr>
          <w:rFonts w:ascii="Cambria" w:eastAsia="Calibri" w:hAnsi="Cambria"/>
          <w:sz w:val="22"/>
          <w:szCs w:val="22"/>
          <w:lang w:eastAsia="en-US"/>
        </w:rPr>
        <w:br/>
        <w:t>w których nie zostały powołane wspólnoty mieszkaniowe</w:t>
      </w:r>
    </w:p>
    <w:p w:rsidR="009E0D21" w:rsidRPr="007F2233" w:rsidRDefault="009E0D21" w:rsidP="009E0D21">
      <w:pPr>
        <w:suppressAutoHyphens w:val="0"/>
        <w:autoSpaceDE w:val="0"/>
        <w:autoSpaceDN w:val="0"/>
        <w:adjustRightInd w:val="0"/>
        <w:jc w:val="both"/>
        <w:rPr>
          <w:rFonts w:ascii="Cambria" w:eastAsia="Calibri" w:hAnsi="Cambria"/>
          <w:sz w:val="22"/>
          <w:szCs w:val="22"/>
          <w:lang w:eastAsia="en-US"/>
        </w:rPr>
      </w:pPr>
      <w:r w:rsidRPr="007F2233">
        <w:rPr>
          <w:rFonts w:ascii="Cambria" w:eastAsia="Calibri" w:hAnsi="Cambria"/>
          <w:sz w:val="22"/>
          <w:szCs w:val="22"/>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7F2233">
        <w:rPr>
          <w:rFonts w:ascii="Cambria" w:eastAsia="Calibri" w:hAnsi="Cambria"/>
          <w:bCs/>
          <w:sz w:val="22"/>
          <w:szCs w:val="22"/>
          <w:lang w:eastAsia="en-US"/>
        </w:rPr>
        <w:t xml:space="preserve">300 000 zł </w:t>
      </w:r>
      <w:r w:rsidRPr="007F2233">
        <w:rPr>
          <w:rFonts w:ascii="Cambria" w:eastAsia="Calibri" w:hAnsi="Cambria"/>
          <w:sz w:val="22"/>
          <w:szCs w:val="22"/>
          <w:lang w:eastAsia="en-US"/>
        </w:rPr>
        <w:t>ponad sumę ubezpieczenia w każdym rocznym okresie ubezpieczenia.</w:t>
      </w:r>
    </w:p>
    <w:p w:rsidR="009E0D21" w:rsidRPr="007F2233" w:rsidRDefault="009E0D21" w:rsidP="009E0D21">
      <w:pPr>
        <w:widowControl w:val="0"/>
        <w:suppressAutoHyphens w:val="0"/>
        <w:spacing w:before="120"/>
        <w:jc w:val="both"/>
        <w:rPr>
          <w:rFonts w:ascii="Cambria" w:hAnsi="Cambria"/>
          <w:sz w:val="22"/>
          <w:szCs w:val="22"/>
          <w:lang w:eastAsia="en-US"/>
        </w:rPr>
      </w:pPr>
      <w:r w:rsidRPr="007F2233">
        <w:rPr>
          <w:rFonts w:ascii="Cambria" w:hAnsi="Cambria"/>
          <w:b/>
          <w:sz w:val="22"/>
          <w:szCs w:val="22"/>
          <w:lang w:eastAsia="en-US"/>
        </w:rPr>
        <w:t xml:space="preserve">Klauzula ubezpieczenia mediów gaśniczych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hAnsi="Cambria"/>
          <w:sz w:val="22"/>
          <w:szCs w:val="22"/>
          <w:lang w:eastAsia="en-US"/>
        </w:rPr>
      </w:pPr>
      <w:r w:rsidRPr="007F2233">
        <w:rPr>
          <w:rFonts w:ascii="Cambria" w:hAnsi="Cambria"/>
          <w:sz w:val="22"/>
          <w:szCs w:val="22"/>
          <w:lang w:eastAsia="en-US"/>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9E0D21" w:rsidRPr="007F2233" w:rsidRDefault="009E0D21" w:rsidP="009E0D21">
      <w:pPr>
        <w:widowControl w:val="0"/>
        <w:suppressAutoHyphens w:val="0"/>
        <w:spacing w:before="120"/>
        <w:jc w:val="both"/>
        <w:rPr>
          <w:rFonts w:ascii="Cambria" w:eastAsia="Calibri" w:hAnsi="Cambria"/>
          <w:b/>
          <w:sz w:val="22"/>
          <w:szCs w:val="22"/>
          <w:lang w:eastAsia="en-US"/>
        </w:rPr>
      </w:pPr>
      <w:r w:rsidRPr="007F2233">
        <w:rPr>
          <w:rFonts w:ascii="Cambria" w:eastAsia="Calibri" w:hAnsi="Cambria"/>
          <w:b/>
          <w:sz w:val="22"/>
          <w:szCs w:val="22"/>
          <w:lang w:eastAsia="en-US"/>
        </w:rPr>
        <w:t xml:space="preserve">Klauzula szkód w przedmiotach szklanych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widowControl w:val="0"/>
        <w:suppressAutoHyphens w:val="0"/>
        <w:jc w:val="both"/>
        <w:rPr>
          <w:rFonts w:ascii="Cambria" w:eastAsia="Calibri" w:hAnsi="Cambria"/>
          <w:sz w:val="22"/>
          <w:szCs w:val="22"/>
          <w:lang w:eastAsia="en-US"/>
        </w:rPr>
      </w:pPr>
      <w:r w:rsidRPr="007F2233">
        <w:rPr>
          <w:rFonts w:ascii="Cambria" w:eastAsia="Calibri" w:hAnsi="Cambria"/>
          <w:sz w:val="22"/>
          <w:szCs w:val="22"/>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7F2233">
        <w:rPr>
          <w:rFonts w:ascii="Cambria" w:eastAsia="Calibri" w:hAnsi="Cambria"/>
          <w:iCs/>
          <w:sz w:val="22"/>
          <w:szCs w:val="22"/>
          <w:lang w:eastAsia="en-US"/>
        </w:rPr>
        <w:t>niezależnie od rodzaju szkła i klasy odporności</w:t>
      </w:r>
      <w:r w:rsidRPr="007F2233">
        <w:rPr>
          <w:rFonts w:ascii="Cambria" w:eastAsia="Calibri" w:hAnsi="Cambria"/>
          <w:sz w:val="22"/>
          <w:szCs w:val="22"/>
          <w:lang w:eastAsia="en-US"/>
        </w:rPr>
        <w:t>. W szczególności ochroną objęte są następujące przedmioty:</w:t>
      </w:r>
    </w:p>
    <w:p w:rsidR="009E0D21" w:rsidRPr="007F2233" w:rsidRDefault="009E0D21" w:rsidP="009E0D21">
      <w:pPr>
        <w:widowControl w:val="0"/>
        <w:numPr>
          <w:ilvl w:val="0"/>
          <w:numId w:val="1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oszklenie stanowiące element konstrukcji budynku,</w:t>
      </w:r>
    </w:p>
    <w:p w:rsidR="009E0D21" w:rsidRPr="007F2233" w:rsidRDefault="009E0D21" w:rsidP="009E0D21">
      <w:pPr>
        <w:widowControl w:val="0"/>
        <w:numPr>
          <w:ilvl w:val="0"/>
          <w:numId w:val="1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oszklenie okienne i drzwiowe,</w:t>
      </w:r>
    </w:p>
    <w:p w:rsidR="009E0D21" w:rsidRPr="007F2233" w:rsidRDefault="009E0D21" w:rsidP="009E0D21">
      <w:pPr>
        <w:widowControl w:val="0"/>
        <w:numPr>
          <w:ilvl w:val="0"/>
          <w:numId w:val="1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 xml:space="preserve">oszklenie zewnętrzne i wewnętrzne, wiaty </w:t>
      </w:r>
    </w:p>
    <w:p w:rsidR="009E0D21" w:rsidRPr="007F2233" w:rsidRDefault="009E0D21" w:rsidP="009E0D21">
      <w:pPr>
        <w:widowControl w:val="0"/>
        <w:numPr>
          <w:ilvl w:val="0"/>
          <w:numId w:val="13"/>
        </w:numPr>
        <w:tabs>
          <w:tab w:val="num" w:pos="284"/>
        </w:tabs>
        <w:suppressAutoHyphens w:val="0"/>
        <w:spacing w:line="276" w:lineRule="auto"/>
        <w:ind w:left="284" w:hanging="284"/>
        <w:jc w:val="both"/>
        <w:rPr>
          <w:rFonts w:ascii="Cambria" w:eastAsia="Calibri" w:hAnsi="Cambria"/>
          <w:iCs/>
          <w:sz w:val="22"/>
          <w:szCs w:val="22"/>
          <w:lang w:eastAsia="en-US"/>
        </w:rPr>
      </w:pPr>
      <w:r w:rsidRPr="007F2233">
        <w:rPr>
          <w:rFonts w:ascii="Cambria" w:eastAsia="Calibri" w:hAnsi="Cambria"/>
          <w:iCs/>
          <w:sz w:val="22"/>
          <w:szCs w:val="22"/>
          <w:lang w:eastAsia="en-US"/>
        </w:rPr>
        <w:t xml:space="preserve">konstrukcje wypełnione szkłem lub tworzywem itp., </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szyby specjalne (szyby antywłamaniowe, płyty szklane warstwowe i inne),</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oszklenia ścienne i dachowe,</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płyty szklane stanowiące składowe części mebli, stołów, lad oraz gablot,</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szklane przegrody ścienne oraz osłony kantorów, boksów i kabin,</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lastRenderedPageBreak/>
        <w:t>tablice reklamowe, szyldy, tablice i gabloty poza budynkiem lub lokalem ze szkła, plastiku, tworzywa itp.,</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neony, reklamy świetlne, tablice świetlne i elektroniczne,</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cs="Tahoma"/>
          <w:bCs/>
          <w:sz w:val="22"/>
          <w:szCs w:val="22"/>
          <w:lang w:eastAsia="en-US"/>
        </w:rPr>
        <w:t>części szklane instalacji solarnych,</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witraże,</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lustra wiszące, stojące i wmontowane w ścianach,</w:t>
      </w:r>
    </w:p>
    <w:p w:rsidR="009E0D21" w:rsidRPr="007F2233" w:rsidRDefault="009E0D21" w:rsidP="009E0D21">
      <w:pPr>
        <w:widowControl w:val="0"/>
        <w:numPr>
          <w:ilvl w:val="0"/>
          <w:numId w:val="14"/>
        </w:numPr>
        <w:tabs>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szklane, ceramiczne i kamienne wykładziny ścian, słupów i filarów.</w:t>
      </w:r>
    </w:p>
    <w:p w:rsidR="009E0D21" w:rsidRPr="007F2233" w:rsidRDefault="009E0D21" w:rsidP="009E0D21">
      <w:pPr>
        <w:widowControl w:val="0"/>
        <w:suppressAutoHyphens w:val="0"/>
        <w:spacing w:before="120"/>
        <w:rPr>
          <w:rFonts w:ascii="Cambria" w:eastAsia="Calibri" w:hAnsi="Cambria"/>
          <w:sz w:val="22"/>
          <w:szCs w:val="22"/>
          <w:lang w:eastAsia="en-US"/>
        </w:rPr>
      </w:pPr>
      <w:r w:rsidRPr="007F2233">
        <w:rPr>
          <w:rFonts w:ascii="Cambria" w:eastAsia="Calibri" w:hAnsi="Cambria"/>
          <w:bCs/>
          <w:sz w:val="22"/>
          <w:szCs w:val="22"/>
          <w:lang w:eastAsia="en-US"/>
        </w:rPr>
        <w:t>Wymagany zakres ubezpieczenia obejmuje:</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stłuczenie (rozbicie) lub pęknięcie przedmiotu ubezpieczenia </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pokrycie poniesionych kosztów ustawienia i rozebrania rusztowań i użycia dźwigu w celu dokonania wymiany lub naprawy ubezpieczonych przedmiotów w związku z ich stłuczeniem (rozbiciem)  lub pęknięciem</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koszty wykonania znaków reklamowych i informacyjnych </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tymczasowego zabezpieczenia (do wysokości 20% sumy ubezpieczenia)</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transportu związane z naprawieniem szkody, szkody).</w:t>
      </w:r>
    </w:p>
    <w:p w:rsidR="009E0D21" w:rsidRPr="007F2233" w:rsidRDefault="009E0D21" w:rsidP="009E0D21">
      <w:pPr>
        <w:widowControl w:val="0"/>
        <w:numPr>
          <w:ilvl w:val="0"/>
          <w:numId w:val="15"/>
        </w:numPr>
        <w:tabs>
          <w:tab w:val="num" w:pos="0"/>
          <w:tab w:val="num" w:pos="284"/>
        </w:tabs>
        <w:suppressAutoHyphens w:val="0"/>
        <w:spacing w:line="276" w:lineRule="auto"/>
        <w:ind w:left="284" w:hanging="284"/>
        <w:jc w:val="both"/>
        <w:rPr>
          <w:rFonts w:ascii="Cambria" w:eastAsia="Calibri" w:hAnsi="Cambria"/>
          <w:sz w:val="22"/>
          <w:szCs w:val="22"/>
          <w:lang w:eastAsia="en-US"/>
        </w:rPr>
      </w:pPr>
      <w:r w:rsidRPr="007F2233">
        <w:rPr>
          <w:rFonts w:ascii="Cambria" w:eastAsia="Calibri" w:hAnsi="Cambria"/>
          <w:sz w:val="22"/>
          <w:szCs w:val="22"/>
          <w:lang w:eastAsia="en-US"/>
        </w:rPr>
        <w:t>koszty usług ekspresowych (wykonanie oszklenia w ciągu 24 h od powstania szkody)</w:t>
      </w:r>
      <w:r w:rsidRPr="007F2233">
        <w:rPr>
          <w:rFonts w:ascii="Cambria" w:hAnsi="Cambria"/>
          <w:sz w:val="22"/>
          <w:szCs w:val="22"/>
          <w:lang w:eastAsia="en-US"/>
        </w:rPr>
        <w:t>.</w:t>
      </w:r>
    </w:p>
    <w:p w:rsidR="009E0D21" w:rsidRPr="007F2233" w:rsidRDefault="009E0D21" w:rsidP="009E0D21">
      <w:pPr>
        <w:suppressAutoHyphens w:val="0"/>
        <w:spacing w:before="120"/>
        <w:jc w:val="both"/>
        <w:rPr>
          <w:rFonts w:ascii="Cambria" w:hAnsi="Cambria"/>
          <w:sz w:val="22"/>
          <w:szCs w:val="22"/>
          <w:lang w:eastAsia="en-US"/>
        </w:rPr>
      </w:pPr>
      <w:r w:rsidRPr="007F2233">
        <w:rPr>
          <w:rFonts w:ascii="Cambria" w:hAnsi="Cambria"/>
          <w:b/>
          <w:sz w:val="22"/>
          <w:szCs w:val="22"/>
          <w:lang w:eastAsia="en-US"/>
        </w:rPr>
        <w:t xml:space="preserve">Klauzula ubezpieczenia przepięć </w:t>
      </w:r>
      <w:r w:rsidRPr="007F2233">
        <w:rPr>
          <w:rFonts w:ascii="Cambria" w:eastAsia="Calibri" w:hAnsi="Cambria"/>
          <w:sz w:val="22"/>
          <w:szCs w:val="22"/>
          <w:lang w:eastAsia="en-US"/>
        </w:rPr>
        <w:t>– bez względu na postanowienia ogólnych bądź szczególnych warunków ubezpieczenia, strony umowy ubezpieczenia uzgodniły, że:</w:t>
      </w:r>
    </w:p>
    <w:p w:rsidR="009E0D21" w:rsidRPr="007F2233" w:rsidRDefault="009E0D21" w:rsidP="009E0D21">
      <w:pPr>
        <w:suppressAutoHyphens w:val="0"/>
        <w:jc w:val="both"/>
        <w:rPr>
          <w:rFonts w:ascii="Cambria" w:hAnsi="Cambria"/>
          <w:sz w:val="22"/>
          <w:szCs w:val="22"/>
          <w:lang w:eastAsia="en-US"/>
        </w:rPr>
      </w:pPr>
      <w:r w:rsidRPr="007F2233">
        <w:rPr>
          <w:rFonts w:ascii="Cambria" w:hAnsi="Cambria"/>
          <w:sz w:val="22"/>
          <w:szCs w:val="22"/>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9E0D21" w:rsidRPr="007F2233" w:rsidRDefault="009E0D21" w:rsidP="009E0D21">
      <w:pPr>
        <w:widowControl w:val="0"/>
        <w:suppressAutoHyphens w:val="0"/>
        <w:jc w:val="both"/>
        <w:rPr>
          <w:rFonts w:ascii="Cambria" w:hAnsi="Cambria"/>
          <w:sz w:val="22"/>
          <w:szCs w:val="22"/>
          <w:lang w:eastAsia="en-US"/>
        </w:rPr>
      </w:pPr>
      <w:r w:rsidRPr="007F2233">
        <w:rPr>
          <w:rFonts w:ascii="Cambria" w:hAnsi="Cambria"/>
          <w:sz w:val="22"/>
          <w:szCs w:val="22"/>
          <w:lang w:eastAsia="en-US"/>
        </w:rPr>
        <w:t>Limit odpowiedzialności: 300 000,00 zł na jedno i wszystkie zdarzenia w okresie ubezpieczenia.</w:t>
      </w:r>
    </w:p>
    <w:p w:rsidR="009F133D" w:rsidRPr="009E0D21" w:rsidRDefault="009E0D21" w:rsidP="009E0D21">
      <w:pPr>
        <w:widowControl w:val="0"/>
        <w:suppressAutoHyphens w:val="0"/>
        <w:jc w:val="both"/>
      </w:pPr>
      <w:r w:rsidRPr="007F2233">
        <w:rPr>
          <w:rFonts w:ascii="Cambria" w:hAnsi="Cambria"/>
          <w:sz w:val="22"/>
          <w:szCs w:val="22"/>
          <w:lang w:eastAsia="en-US"/>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bookmarkStart w:id="2" w:name="_GoBack"/>
      <w:bookmarkEnd w:id="2"/>
    </w:p>
    <w:sectPr w:rsidR="009F133D" w:rsidRPr="009E0D21">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Default="009E0D21"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34B" w:rsidRDefault="009E0D21" w:rsidP="0038630E">
    <w:pPr>
      <w:pStyle w:val="Stopka"/>
      <w:ind w:right="360"/>
    </w:pPr>
  </w:p>
  <w:p w:rsidR="0035534B" w:rsidRDefault="009E0D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Pr="003D375B" w:rsidRDefault="009E0D21"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9E0D21">
      <w:rPr>
        <w:rFonts w:ascii="Cambria" w:eastAsia="Times New Roman" w:hAnsi="Cambria"/>
        <w:noProof/>
        <w:lang w:val="pl-PL"/>
      </w:rPr>
      <w:t>14</w:t>
    </w:r>
    <w:r w:rsidRPr="003D375B">
      <w:rPr>
        <w:rFonts w:ascii="Cambria" w:eastAsia="Times New Roman" w:hAnsi="Cambria"/>
      </w:rPr>
      <w:fldChar w:fldCharType="end"/>
    </w:r>
  </w:p>
  <w:p w:rsidR="0035534B" w:rsidRPr="003D375B" w:rsidRDefault="009E0D21" w:rsidP="003D37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DE89AC"/>
    <w:name w:val="WW8Num11"/>
    <w:lvl w:ilvl="0">
      <w:start w:val="1"/>
      <w:numFmt w:val="decimal"/>
      <w:lvlText w:val="%1."/>
      <w:lvlJc w:val="left"/>
      <w:pPr>
        <w:tabs>
          <w:tab w:val="num" w:pos="0"/>
        </w:tabs>
      </w:pPr>
      <w:rPr>
        <w:rFonts w:cs="Times New Roman"/>
        <w:b/>
        <w:color w:val="000000"/>
      </w:rPr>
    </w:lvl>
    <w:lvl w:ilvl="1">
      <w:start w:val="1"/>
      <w:numFmt w:val="decimal"/>
      <w:lvlText w:val="%1.%2."/>
      <w:lvlJc w:val="left"/>
      <w:pPr>
        <w:tabs>
          <w:tab w:val="num" w:pos="0"/>
        </w:tabs>
      </w:pPr>
      <w:rPr>
        <w:rFonts w:ascii="Cambria" w:hAnsi="Cambria" w:cs="Courier New" w:hint="default"/>
        <w:sz w:val="22"/>
        <w:szCs w:val="22"/>
      </w:rPr>
    </w:lvl>
    <w:lvl w:ilvl="2">
      <w:start w:val="1"/>
      <w:numFmt w:val="decimal"/>
      <w:lvlText w:val="%1.%2.%3."/>
      <w:lvlJc w:val="left"/>
      <w:pPr>
        <w:tabs>
          <w:tab w:val="num" w:pos="0"/>
        </w:tabs>
      </w:pPr>
      <w:rPr>
        <w:rFonts w:cs="Times New Roman"/>
        <w:b/>
        <w:color w:val="000000"/>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1" w15:restartNumberingAfterBreak="0">
    <w:nsid w:val="0000000C"/>
    <w:multiLevelType w:val="singleLevel"/>
    <w:tmpl w:val="41108F2A"/>
    <w:name w:val="WW8Num12"/>
    <w:lvl w:ilvl="0">
      <w:start w:val="1"/>
      <w:numFmt w:val="decimal"/>
      <w:lvlText w:val="%1."/>
      <w:lvlJc w:val="left"/>
      <w:pPr>
        <w:tabs>
          <w:tab w:val="num" w:pos="0"/>
        </w:tabs>
      </w:pPr>
      <w:rPr>
        <w:rFonts w:cs="Times New Roman"/>
        <w:b/>
        <w:color w:val="000000"/>
      </w:rPr>
    </w:lvl>
  </w:abstractNum>
  <w:abstractNum w:abstractNumId="2" w15:restartNumberingAfterBreak="0">
    <w:nsid w:val="00000012"/>
    <w:multiLevelType w:val="singleLevel"/>
    <w:tmpl w:val="31804C08"/>
    <w:name w:val="WW8Num18"/>
    <w:lvl w:ilvl="0">
      <w:start w:val="1"/>
      <w:numFmt w:val="decimal"/>
      <w:lvlText w:val="%1."/>
      <w:lvlJc w:val="left"/>
      <w:pPr>
        <w:tabs>
          <w:tab w:val="num" w:pos="2880"/>
        </w:tabs>
        <w:ind w:left="2880" w:hanging="360"/>
      </w:pPr>
      <w:rPr>
        <w:b/>
      </w:rPr>
    </w:lvl>
  </w:abstractNum>
  <w:abstractNum w:abstractNumId="3" w15:restartNumberingAfterBreak="0">
    <w:nsid w:val="0000001F"/>
    <w:multiLevelType w:val="multilevel"/>
    <w:tmpl w:val="2E9C7AEA"/>
    <w:name w:val="WW8Num31"/>
    <w:lvl w:ilvl="0">
      <w:start w:val="1"/>
      <w:numFmt w:val="decimal"/>
      <w:lvlText w:val="%1."/>
      <w:lvlJc w:val="left"/>
      <w:pPr>
        <w:tabs>
          <w:tab w:val="num" w:pos="540"/>
        </w:tabs>
        <w:ind w:left="540" w:hanging="540"/>
      </w:pPr>
      <w:rPr>
        <w:rFonts w:ascii="Cambria" w:eastAsia="Times New Roman" w:hAnsi="Cambria" w:cs="Times New Roman"/>
        <w:b/>
        <w:color w:val="000000"/>
      </w:rPr>
    </w:lvl>
    <w:lvl w:ilvl="1">
      <w:start w:val="2"/>
      <w:numFmt w:val="decimal"/>
      <w:lvlText w:val="%1.%2."/>
      <w:lvlJc w:val="left"/>
      <w:pPr>
        <w:tabs>
          <w:tab w:val="num" w:pos="540"/>
        </w:tabs>
        <w:ind w:left="540" w:hanging="540"/>
      </w:pPr>
      <w:rPr>
        <w:rFonts w:ascii="Symbol" w:hAnsi="Symbol" w:cs="Times New Roman"/>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Symbol" w:hAnsi="Symbol" w:cs="Times New Roman"/>
        <w:color w:val="000000"/>
      </w:rPr>
    </w:lvl>
    <w:lvl w:ilvl="4">
      <w:start w:val="1"/>
      <w:numFmt w:val="decimal"/>
      <w:lvlText w:val="%1.%2.%3.%4.%5."/>
      <w:lvlJc w:val="left"/>
      <w:pPr>
        <w:tabs>
          <w:tab w:val="num" w:pos="1080"/>
        </w:tabs>
        <w:ind w:left="1080" w:hanging="1080"/>
      </w:pPr>
      <w:rPr>
        <w:rFonts w:ascii="Symbol" w:hAnsi="Symbol" w:cs="Times New Roman"/>
        <w:color w:val="000000"/>
      </w:rPr>
    </w:lvl>
    <w:lvl w:ilvl="5">
      <w:start w:val="1"/>
      <w:numFmt w:val="decimal"/>
      <w:lvlText w:val="%1.%2.%3.%4.%5.%6."/>
      <w:lvlJc w:val="left"/>
      <w:pPr>
        <w:tabs>
          <w:tab w:val="num" w:pos="1080"/>
        </w:tabs>
        <w:ind w:left="1080" w:hanging="1080"/>
      </w:pPr>
      <w:rPr>
        <w:rFonts w:ascii="Symbol" w:hAnsi="Symbol" w:cs="Times New Roman"/>
        <w:color w:val="000000"/>
      </w:rPr>
    </w:lvl>
    <w:lvl w:ilvl="6">
      <w:start w:val="1"/>
      <w:numFmt w:val="decimal"/>
      <w:lvlText w:val="%1.%2.%3.%4.%5.%6.%7."/>
      <w:lvlJc w:val="left"/>
      <w:pPr>
        <w:tabs>
          <w:tab w:val="num" w:pos="1440"/>
        </w:tabs>
        <w:ind w:left="1440" w:hanging="1440"/>
      </w:pPr>
      <w:rPr>
        <w:rFonts w:ascii="Symbol" w:hAnsi="Symbol" w:cs="Times New Roman"/>
        <w:color w:val="000000"/>
      </w:rPr>
    </w:lvl>
    <w:lvl w:ilvl="7">
      <w:start w:val="1"/>
      <w:numFmt w:val="decimal"/>
      <w:lvlText w:val="%1.%2.%3.%4.%5.%6.%7.%8."/>
      <w:lvlJc w:val="left"/>
      <w:pPr>
        <w:tabs>
          <w:tab w:val="num" w:pos="1440"/>
        </w:tabs>
        <w:ind w:left="1440" w:hanging="1440"/>
      </w:pPr>
      <w:rPr>
        <w:rFonts w:ascii="Symbol" w:hAnsi="Symbol" w:cs="Times New Roman"/>
        <w:color w:val="000000"/>
      </w:rPr>
    </w:lvl>
    <w:lvl w:ilvl="8">
      <w:start w:val="1"/>
      <w:numFmt w:val="decimal"/>
      <w:lvlText w:val="%1.%2.%3.%4.%5.%6.%7.%8.%9."/>
      <w:lvlJc w:val="left"/>
      <w:pPr>
        <w:tabs>
          <w:tab w:val="num" w:pos="1800"/>
        </w:tabs>
        <w:ind w:left="1800" w:hanging="1800"/>
      </w:pPr>
      <w:rPr>
        <w:rFonts w:ascii="Symbol" w:hAnsi="Symbol" w:cs="Times New Roman"/>
        <w:color w:val="000000"/>
      </w:rPr>
    </w:lvl>
  </w:abstractNum>
  <w:abstractNum w:abstractNumId="4" w15:restartNumberingAfterBreak="0">
    <w:nsid w:val="0000002D"/>
    <w:multiLevelType w:val="singleLevel"/>
    <w:tmpl w:val="B5900808"/>
    <w:name w:val="WW8Num45"/>
    <w:lvl w:ilvl="0">
      <w:start w:val="1"/>
      <w:numFmt w:val="decimal"/>
      <w:lvlText w:val="%1."/>
      <w:lvlJc w:val="left"/>
      <w:pPr>
        <w:tabs>
          <w:tab w:val="num" w:pos="0"/>
        </w:tabs>
      </w:pPr>
      <w:rPr>
        <w:rFonts w:ascii="Times New Roman" w:hAnsi="Times New Roman" w:cs="Times New Roman" w:hint="default"/>
      </w:rPr>
    </w:lvl>
  </w:abstractNum>
  <w:abstractNum w:abstractNumId="5" w15:restartNumberingAfterBreak="0">
    <w:nsid w:val="00000031"/>
    <w:multiLevelType w:val="multilevel"/>
    <w:tmpl w:val="7E48FF24"/>
    <w:name w:val="WW8Num49"/>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Courier New" w:hAnsi="Courier New" w:cs="Times New Roman" w:hint="default"/>
      </w:rPr>
    </w:lvl>
    <w:lvl w:ilvl="2">
      <w:start w:val="1"/>
      <w:numFmt w:val="decimal"/>
      <w:lvlText w:val="%3)"/>
      <w:lvlJc w:val="left"/>
      <w:pPr>
        <w:tabs>
          <w:tab w:val="num" w:pos="0"/>
        </w:tabs>
      </w:pPr>
      <w:rPr>
        <w:rFonts w:ascii="Cambria" w:eastAsia="Times New Roman" w:hAnsi="Cambria" w:cs="Cambria"/>
      </w:rPr>
    </w:lvl>
    <w:lvl w:ilvl="3">
      <w:start w:val="1"/>
      <w:numFmt w:val="bullet"/>
      <w:lvlText w:val=""/>
      <w:lvlJc w:val="left"/>
      <w:pPr>
        <w:tabs>
          <w:tab w:val="num" w:pos="0"/>
        </w:tabs>
      </w:pPr>
      <w:rPr>
        <w:rFonts w:ascii="Symbol" w:hAnsi="Symbol" w:hint="default"/>
        <w:b/>
      </w:rPr>
    </w:lvl>
    <w:lvl w:ilvl="4">
      <w:start w:val="1"/>
      <w:numFmt w:val="decimal"/>
      <w:lvlText w:val="%1.%2.%3.%4.%5."/>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ascii="Courier New" w:hAnsi="Courier New" w:cs="Times New Roman" w:hint="default"/>
      </w:rPr>
    </w:lvl>
    <w:lvl w:ilvl="6">
      <w:start w:val="1"/>
      <w:numFmt w:val="decimal"/>
      <w:lvlText w:val="%1.%2.%3.%4.%5.%6.%7."/>
      <w:lvlJc w:val="left"/>
      <w:pPr>
        <w:tabs>
          <w:tab w:val="num" w:pos="3600"/>
        </w:tabs>
        <w:ind w:left="3240" w:hanging="1080"/>
      </w:pPr>
      <w:rPr>
        <w:rFonts w:ascii="Courier New" w:hAnsi="Courier New" w:cs="Times New Roman" w:hint="default"/>
      </w:rPr>
    </w:lvl>
    <w:lvl w:ilvl="7">
      <w:start w:val="1"/>
      <w:numFmt w:val="decimal"/>
      <w:lvlText w:val="%1.%2.%3.%4.%5.%6.%7.%8."/>
      <w:lvlJc w:val="left"/>
      <w:pPr>
        <w:tabs>
          <w:tab w:val="num" w:pos="3960"/>
        </w:tabs>
        <w:ind w:left="3744" w:hanging="1224"/>
      </w:pPr>
      <w:rPr>
        <w:rFonts w:ascii="Courier New" w:hAnsi="Courier New" w:cs="Times New Roman" w:hint="default"/>
      </w:rPr>
    </w:lvl>
    <w:lvl w:ilvl="8">
      <w:start w:val="1"/>
      <w:numFmt w:val="decimal"/>
      <w:lvlText w:val="%1.%2.%3.%4.%5.%6.%7.%8.%9."/>
      <w:lvlJc w:val="left"/>
      <w:pPr>
        <w:tabs>
          <w:tab w:val="num" w:pos="4680"/>
        </w:tabs>
        <w:ind w:left="4320" w:hanging="1440"/>
      </w:pPr>
      <w:rPr>
        <w:rFonts w:ascii="Courier New" w:hAnsi="Courier New" w:cs="Times New Roman" w:hint="default"/>
      </w:r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360" w:hanging="360"/>
      </w:pPr>
      <w:rPr>
        <w:rFonts w:ascii="Symbol" w:hAnsi="Symbol" w:cs="Times New Roman"/>
      </w:rPr>
    </w:lvl>
  </w:abstractNum>
  <w:abstractNum w:abstractNumId="7" w15:restartNumberingAfterBreak="0">
    <w:nsid w:val="0000003B"/>
    <w:multiLevelType w:val="multilevel"/>
    <w:tmpl w:val="81729B8C"/>
    <w:name w:val="WW8Num59"/>
    <w:lvl w:ilvl="0">
      <w:start w:val="1"/>
      <w:numFmt w:val="decimal"/>
      <w:lvlText w:val="%1."/>
      <w:lvlJc w:val="left"/>
      <w:pPr>
        <w:tabs>
          <w:tab w:val="num" w:pos="0"/>
        </w:tabs>
      </w:pPr>
      <w:rPr>
        <w:rFonts w:ascii="Cambria" w:hAnsi="Cambria" w:cs="Times New Roman" w:hint="default"/>
        <w:b/>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b/>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b/>
      </w:rPr>
    </w:lvl>
    <w:lvl w:ilvl="8">
      <w:start w:val="1"/>
      <w:numFmt w:val="decimal"/>
      <w:lvlText w:val="%1.%2.%3.%4.%5.%6.%7.%8.%9."/>
      <w:lvlJc w:val="left"/>
      <w:pPr>
        <w:tabs>
          <w:tab w:val="num" w:pos="4680"/>
        </w:tabs>
        <w:ind w:left="4320" w:hanging="1440"/>
      </w:pPr>
      <w:rPr>
        <w:rFonts w:cs="Times New Roman"/>
        <w:b/>
      </w:rPr>
    </w:lvl>
  </w:abstractNum>
  <w:abstractNum w:abstractNumId="8" w15:restartNumberingAfterBreak="0">
    <w:nsid w:val="00000048"/>
    <w:multiLevelType w:val="singleLevel"/>
    <w:tmpl w:val="498E6200"/>
    <w:name w:val="WW8Num72"/>
    <w:lvl w:ilvl="0">
      <w:start w:val="1"/>
      <w:numFmt w:val="lowerLetter"/>
      <w:lvlText w:val="%1)"/>
      <w:lvlJc w:val="left"/>
      <w:pPr>
        <w:tabs>
          <w:tab w:val="num" w:pos="0"/>
        </w:tabs>
        <w:ind w:left="502" w:hanging="360"/>
      </w:pPr>
      <w:rPr>
        <w:rFonts w:ascii="Cambria" w:eastAsia="Times New Roman" w:hAnsi="Cambria" w:cs="Times New Roman" w:hint="default"/>
      </w:rPr>
    </w:lvl>
  </w:abstractNum>
  <w:abstractNum w:abstractNumId="9" w15:restartNumberingAfterBreak="0">
    <w:nsid w:val="0000004B"/>
    <w:multiLevelType w:val="multilevel"/>
    <w:tmpl w:val="CC323748"/>
    <w:name w:val="WW8Num75"/>
    <w:lvl w:ilvl="0">
      <w:start w:val="1"/>
      <w:numFmt w:val="decimal"/>
      <w:lvlText w:val="%1."/>
      <w:lvlJc w:val="left"/>
      <w:pPr>
        <w:tabs>
          <w:tab w:val="num" w:pos="0"/>
        </w:tabs>
      </w:pPr>
      <w:rPr>
        <w:rFonts w:ascii="Times New Roman" w:hAnsi="Times New Roman" w:cs="Times New Roman" w:hint="default"/>
        <w:b/>
      </w:rPr>
    </w:lvl>
    <w:lvl w:ilvl="1">
      <w:start w:val="1"/>
      <w:numFmt w:val="decimal"/>
      <w:lvlText w:val="%1.%2."/>
      <w:lvlJc w:val="left"/>
      <w:pPr>
        <w:tabs>
          <w:tab w:val="num" w:pos="0"/>
        </w:tabs>
      </w:pPr>
      <w:rPr>
        <w:rFonts w:ascii="Symbol" w:hAnsi="Symbol" w:cs="Times New Roman"/>
      </w:rPr>
    </w:lvl>
    <w:lvl w:ilvl="2">
      <w:start w:val="1"/>
      <w:numFmt w:val="decimal"/>
      <w:lvlText w:val="%1.%2.%3."/>
      <w:lvlJc w:val="left"/>
      <w:pPr>
        <w:tabs>
          <w:tab w:val="num" w:pos="0"/>
        </w:tabs>
      </w:pPr>
      <w:rPr>
        <w:rFonts w:ascii="Symbol" w:hAnsi="Symbol" w:cs="Times New Roman"/>
      </w:rPr>
    </w:lvl>
    <w:lvl w:ilvl="3">
      <w:start w:val="1"/>
      <w:numFmt w:val="decimal"/>
      <w:lvlText w:val="%4."/>
      <w:lvlJc w:val="left"/>
      <w:pPr>
        <w:tabs>
          <w:tab w:val="num" w:pos="0"/>
        </w:tabs>
      </w:pPr>
      <w:rPr>
        <w:rFonts w:ascii="Cambria" w:eastAsia="Times New Roman" w:hAnsi="Cambria" w:cs="Times New Roman" w:hint="default"/>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3ACC7049"/>
    <w:multiLevelType w:val="hybridMultilevel"/>
    <w:tmpl w:val="8A8A5D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500DBD2">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EA08B4"/>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36F58"/>
    <w:multiLevelType w:val="hybridMultilevel"/>
    <w:tmpl w:val="B3C86FBC"/>
    <w:lvl w:ilvl="0" w:tplc="CECCF7FA">
      <w:start w:val="1"/>
      <w:numFmt w:val="bullet"/>
      <w:lvlText w:val="•"/>
      <w:lvlJc w:val="left"/>
      <w:pPr>
        <w:ind w:left="-414" w:hanging="360"/>
      </w:pPr>
      <w:rPr>
        <w:rFonts w:ascii="Cambria" w:eastAsia="Calibri" w:hAnsi="Cambria" w:cs="Times New Roman"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abstractNum w:abstractNumId="26" w15:restartNumberingAfterBreak="0">
    <w:nsid w:val="7A9043D2"/>
    <w:multiLevelType w:val="hybridMultilevel"/>
    <w:tmpl w:val="31B207CE"/>
    <w:name w:val="WW8Num1822"/>
    <w:lvl w:ilvl="0" w:tplc="DB501B3A">
      <w:start w:val="1"/>
      <w:numFmt w:val="decimal"/>
      <w:lvlText w:val="%1."/>
      <w:lvlJc w:val="left"/>
      <w:pPr>
        <w:tabs>
          <w:tab w:val="num" w:pos="2880"/>
        </w:tabs>
        <w:ind w:left="2880" w:hanging="360"/>
      </w:pPr>
      <w:rPr>
        <w:rFonts w:ascii="Cambria" w:eastAsia="Times New Roman" w:hAnsi="Cambria"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BF10DCB"/>
    <w:multiLevelType w:val="hybridMultilevel"/>
    <w:tmpl w:val="A7A623B0"/>
    <w:name w:val="WW8Num182"/>
    <w:lvl w:ilvl="0" w:tplc="31804C08">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8" w15:restartNumberingAfterBreak="0">
    <w:nsid w:val="7C6F0006"/>
    <w:multiLevelType w:val="hybridMultilevel"/>
    <w:tmpl w:val="3620D1AC"/>
    <w:name w:val="WW8Num1004224323"/>
    <w:lvl w:ilvl="0" w:tplc="00000016">
      <w:start w:val="1"/>
      <w:numFmt w:val="decimal"/>
      <w:lvlText w:val="%1)"/>
      <w:lvlJc w:val="left"/>
      <w:pPr>
        <w:tabs>
          <w:tab w:val="num" w:pos="-218"/>
        </w:tabs>
        <w:ind w:left="502" w:hanging="360"/>
      </w:pPr>
      <w:rPr>
        <w:color w:val="auto"/>
      </w:r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25"/>
    <w:lvlOverride w:ilvl="0"/>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2B7E48"/>
    <w:rsid w:val="003D4FBF"/>
    <w:rsid w:val="003F5F12"/>
    <w:rsid w:val="00444AC9"/>
    <w:rsid w:val="00905F0F"/>
    <w:rsid w:val="009962A9"/>
    <w:rsid w:val="009E0D21"/>
    <w:rsid w:val="009F133D"/>
    <w:rsid w:val="00A35A59"/>
    <w:rsid w:val="00AB23A8"/>
    <w:rsid w:val="00D549D7"/>
    <w:rsid w:val="00DB0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AB23A8"/>
    <w:rPr>
      <w:rFonts w:cs="Times New Roman"/>
    </w:rPr>
  </w:style>
  <w:style w:type="paragraph" w:styleId="Stopka">
    <w:name w:val="footer"/>
    <w:basedOn w:val="Normalny"/>
    <w:link w:val="StopkaZnak"/>
    <w:uiPriority w:val="99"/>
    <w:rsid w:val="00AB23A8"/>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B23A8"/>
    <w:rPr>
      <w:rFonts w:ascii="Times New Roman" w:eastAsia="Calibri" w:hAnsi="Times New Roman" w:cs="Times New Roman"/>
      <w:sz w:val="24"/>
      <w:szCs w:val="24"/>
      <w:lang w:val="x-none" w:eastAsia="ar-SA"/>
    </w:rPr>
  </w:style>
  <w:style w:type="paragraph" w:styleId="Akapitzlist">
    <w:name w:val="List Paragraph"/>
    <w:basedOn w:val="Normalny"/>
    <w:uiPriority w:val="34"/>
    <w:qFormat/>
    <w:rsid w:val="00AB23A8"/>
    <w:pPr>
      <w:ind w:left="720"/>
      <w:contextualSpacing/>
    </w:pPr>
  </w:style>
  <w:style w:type="paragraph" w:customStyle="1" w:styleId="ListParagraph">
    <w:name w:val="List Paragraph"/>
    <w:basedOn w:val="Normalny"/>
    <w:rsid w:val="00444AC9"/>
    <w:pPr>
      <w:ind w:left="708"/>
    </w:pPr>
    <w:rPr>
      <w:rFonts w:eastAsia="Calibri"/>
    </w:rPr>
  </w:style>
  <w:style w:type="paragraph" w:styleId="Tekstpodstawowy">
    <w:name w:val="Body Text"/>
    <w:basedOn w:val="Normalny"/>
    <w:link w:val="TekstpodstawowyZnak"/>
    <w:uiPriority w:val="99"/>
    <w:rsid w:val="00D549D7"/>
    <w:pPr>
      <w:widowControl w:val="0"/>
      <w:overflowPunct w:val="0"/>
      <w:autoSpaceDE w:val="0"/>
      <w:spacing w:after="120"/>
      <w:textAlignment w:val="baseline"/>
    </w:pPr>
    <w:rPr>
      <w:rFonts w:eastAsia="Calibri"/>
      <w:lang w:val="x-none"/>
    </w:rPr>
  </w:style>
  <w:style w:type="character" w:customStyle="1" w:styleId="TekstpodstawowyZnak">
    <w:name w:val="Tekst podstawowy Znak"/>
    <w:basedOn w:val="Domylnaczcionkaakapitu"/>
    <w:link w:val="Tekstpodstawowy"/>
    <w:uiPriority w:val="99"/>
    <w:rsid w:val="00D549D7"/>
    <w:rPr>
      <w:rFonts w:ascii="Times New Roman" w:eastAsia="Calibri" w:hAnsi="Times New Roman" w:cs="Times New Roman"/>
      <w:sz w:val="24"/>
      <w:szCs w:val="24"/>
      <w:lang w:val="x-none" w:eastAsia="ar-SA"/>
    </w:rPr>
  </w:style>
  <w:style w:type="paragraph" w:styleId="Tytu">
    <w:name w:val="Title"/>
    <w:basedOn w:val="Normalny"/>
    <w:next w:val="Podtytu"/>
    <w:link w:val="TytuZnak"/>
    <w:uiPriority w:val="99"/>
    <w:qFormat/>
    <w:rsid w:val="009962A9"/>
    <w:pPr>
      <w:widowControl w:val="0"/>
      <w:overflowPunct w:val="0"/>
      <w:autoSpaceDE w:val="0"/>
      <w:jc w:val="center"/>
      <w:textAlignment w:val="baseline"/>
    </w:pPr>
    <w:rPr>
      <w:rFonts w:eastAsia="Calibri"/>
      <w:b/>
      <w:sz w:val="28"/>
      <w:szCs w:val="20"/>
      <w:lang w:val="x-none" w:eastAsia="en-US"/>
    </w:rPr>
  </w:style>
  <w:style w:type="character" w:customStyle="1" w:styleId="TytuZnak">
    <w:name w:val="Tytuł Znak"/>
    <w:basedOn w:val="Domylnaczcionkaakapitu"/>
    <w:link w:val="Tytu"/>
    <w:uiPriority w:val="99"/>
    <w:rsid w:val="009962A9"/>
    <w:rPr>
      <w:rFonts w:ascii="Times New Roman" w:eastAsia="Calibri" w:hAnsi="Times New Roman" w:cs="Times New Roman"/>
      <w:b/>
      <w:sz w:val="28"/>
      <w:szCs w:val="20"/>
      <w:lang w:val="x-none"/>
    </w:rPr>
  </w:style>
  <w:style w:type="paragraph" w:styleId="Podtytu">
    <w:name w:val="Subtitle"/>
    <w:basedOn w:val="Normalny"/>
    <w:next w:val="Normalny"/>
    <w:link w:val="PodtytuZnak"/>
    <w:uiPriority w:val="11"/>
    <w:qFormat/>
    <w:rsid w:val="009962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62A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7020</Words>
  <Characters>42121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2018-11-14T10:46:00Z</dcterms:created>
  <dcterms:modified xsi:type="dcterms:W3CDTF">2018-11-14T10:46:00Z</dcterms:modified>
</cp:coreProperties>
</file>